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F4AE6" w14:textId="77777777" w:rsidR="00163AB1" w:rsidRPr="00B117D9" w:rsidRDefault="00163AB1" w:rsidP="005B213E">
      <w:pPr>
        <w:pStyle w:val="Heading1"/>
        <w:numPr>
          <w:ilvl w:val="0"/>
          <w:numId w:val="0"/>
        </w:numPr>
        <w:spacing w:before="0" w:line="240" w:lineRule="auto"/>
        <w:ind w:left="432" w:hanging="432"/>
        <w:contextualSpacing/>
        <w:jc w:val="center"/>
        <w:rPr>
          <w:rFonts w:asciiTheme="minorHAnsi" w:hAnsiTheme="minorHAnsi" w:cstheme="minorHAnsi"/>
          <w:noProof/>
          <w:sz w:val="22"/>
          <w:szCs w:val="22"/>
        </w:rPr>
      </w:pPr>
      <w:r>
        <w:rPr>
          <w:rFonts w:asciiTheme="minorHAnsi" w:hAnsiTheme="minorHAnsi" w:cstheme="minorHAnsi"/>
          <w:noProof/>
          <w:sz w:val="22"/>
          <w:szCs w:val="22"/>
        </w:rPr>
        <w:drawing>
          <wp:inline distT="0" distB="0" distL="0" distR="0" wp14:anchorId="14A5C603" wp14:editId="36AA0E6C">
            <wp:extent cx="1762125" cy="1762125"/>
            <wp:effectExtent l="0" t="0" r="0" b="0"/>
            <wp:docPr id="2" name="Picture 0" descr="idaho_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daho_sea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1762125"/>
                    </a:xfrm>
                    <a:prstGeom prst="rect">
                      <a:avLst/>
                    </a:prstGeom>
                    <a:noFill/>
                    <a:ln>
                      <a:noFill/>
                    </a:ln>
                  </pic:spPr>
                </pic:pic>
              </a:graphicData>
            </a:graphic>
          </wp:inline>
        </w:drawing>
      </w:r>
    </w:p>
    <w:p w14:paraId="79F92D3F" w14:textId="77777777" w:rsidR="00163AB1" w:rsidRPr="00B117D9" w:rsidRDefault="00163AB1" w:rsidP="005B213E">
      <w:pPr>
        <w:pStyle w:val="Heading1"/>
        <w:numPr>
          <w:ilvl w:val="0"/>
          <w:numId w:val="0"/>
        </w:numPr>
        <w:spacing w:before="0" w:line="240" w:lineRule="auto"/>
        <w:ind w:left="432" w:hanging="432"/>
        <w:contextualSpacing/>
        <w:jc w:val="center"/>
        <w:rPr>
          <w:rFonts w:asciiTheme="minorHAnsi" w:hAnsiTheme="minorHAnsi" w:cstheme="minorHAnsi"/>
          <w:noProof/>
          <w:sz w:val="22"/>
          <w:szCs w:val="22"/>
        </w:rPr>
      </w:pPr>
    </w:p>
    <w:p w14:paraId="6749C5F7" w14:textId="77777777" w:rsidR="00163AB1" w:rsidRPr="00A542EB" w:rsidRDefault="00163AB1" w:rsidP="005B213E">
      <w:pPr>
        <w:contextualSpacing/>
        <w:jc w:val="center"/>
        <w:rPr>
          <w:rFonts w:cstheme="minorHAnsi"/>
          <w:b/>
          <w:spacing w:val="20"/>
          <w:sz w:val="32"/>
          <w:szCs w:val="32"/>
        </w:rPr>
      </w:pPr>
    </w:p>
    <w:p w14:paraId="143C8D25" w14:textId="77777777" w:rsidR="00163AB1" w:rsidRPr="00B53155" w:rsidRDefault="00163AB1" w:rsidP="005B213E">
      <w:pPr>
        <w:contextualSpacing/>
        <w:jc w:val="center"/>
        <w:rPr>
          <w:rFonts w:cstheme="minorHAnsi"/>
          <w:b/>
          <w:color w:val="0070C0"/>
          <w:spacing w:val="20"/>
          <w:sz w:val="40"/>
          <w:szCs w:val="40"/>
        </w:rPr>
      </w:pPr>
      <w:r>
        <w:rPr>
          <w:rFonts w:cstheme="minorHAnsi"/>
          <w:b/>
          <w:color w:val="0070C0"/>
          <w:spacing w:val="20"/>
          <w:sz w:val="40"/>
          <w:szCs w:val="40"/>
        </w:rPr>
        <w:t>STATE OF IDAHO</w:t>
      </w:r>
    </w:p>
    <w:p w14:paraId="71FF73F1" w14:textId="1279233D" w:rsidR="00163AB1" w:rsidRDefault="00163AB1" w:rsidP="005B213E">
      <w:pPr>
        <w:contextualSpacing/>
        <w:jc w:val="center"/>
        <w:rPr>
          <w:rFonts w:cstheme="minorHAnsi"/>
          <w:bCs/>
          <w:spacing w:val="20"/>
          <w:sz w:val="28"/>
          <w:szCs w:val="28"/>
        </w:rPr>
      </w:pPr>
      <w:r>
        <w:rPr>
          <w:rFonts w:cstheme="minorHAnsi"/>
          <w:bCs/>
          <w:spacing w:val="20"/>
          <w:sz w:val="28"/>
          <w:szCs w:val="28"/>
        </w:rPr>
        <w:t>DIVISION OF PURCHASING</w:t>
      </w:r>
    </w:p>
    <w:p w14:paraId="0F4BA40D" w14:textId="139A9B5F" w:rsidR="00163AB1" w:rsidRPr="00163AB1" w:rsidRDefault="00163AB1" w:rsidP="005B213E">
      <w:pPr>
        <w:contextualSpacing/>
        <w:jc w:val="center"/>
        <w:rPr>
          <w:rFonts w:cstheme="minorHAnsi"/>
          <w:bCs/>
          <w:spacing w:val="20"/>
        </w:rPr>
      </w:pPr>
      <w:r>
        <w:rPr>
          <w:rFonts w:cstheme="minorHAnsi"/>
          <w:bCs/>
          <w:spacing w:val="20"/>
        </w:rPr>
        <w:t>FOR</w:t>
      </w:r>
    </w:p>
    <w:p w14:paraId="20092FF0" w14:textId="3F27B134" w:rsidR="00163AB1" w:rsidRPr="00A542EB" w:rsidRDefault="00957BD8" w:rsidP="005B213E">
      <w:pPr>
        <w:contextualSpacing/>
        <w:jc w:val="center"/>
        <w:rPr>
          <w:rFonts w:cstheme="minorHAnsi"/>
          <w:bCs/>
          <w:spacing w:val="20"/>
          <w:sz w:val="28"/>
          <w:szCs w:val="28"/>
        </w:rPr>
      </w:pPr>
      <w:r>
        <w:rPr>
          <w:rFonts w:cstheme="minorHAnsi"/>
          <w:bCs/>
          <w:spacing w:val="20"/>
          <w:sz w:val="28"/>
          <w:szCs w:val="28"/>
        </w:rPr>
        <w:t>IDAHO COMMISSION ON AGING</w:t>
      </w:r>
    </w:p>
    <w:p w14:paraId="700FEAE5" w14:textId="77777777" w:rsidR="00163AB1" w:rsidRPr="00B117D9" w:rsidRDefault="00163AB1" w:rsidP="005B213E">
      <w:pPr>
        <w:contextualSpacing/>
        <w:jc w:val="center"/>
        <w:rPr>
          <w:rFonts w:cstheme="minorHAnsi"/>
          <w:sz w:val="28"/>
          <w:szCs w:val="28"/>
        </w:rPr>
      </w:pPr>
    </w:p>
    <w:p w14:paraId="2DB34742" w14:textId="77777777" w:rsidR="00163AB1" w:rsidRPr="00B117D9" w:rsidRDefault="00163AB1" w:rsidP="005B213E">
      <w:pPr>
        <w:contextualSpacing/>
        <w:jc w:val="center"/>
        <w:rPr>
          <w:rFonts w:cstheme="minorHAnsi"/>
          <w:sz w:val="28"/>
          <w:szCs w:val="28"/>
        </w:rPr>
      </w:pPr>
    </w:p>
    <w:p w14:paraId="51C17063" w14:textId="77777777" w:rsidR="00163AB1" w:rsidRPr="00B117D9" w:rsidRDefault="00163AB1" w:rsidP="005B213E">
      <w:pPr>
        <w:contextualSpacing/>
        <w:jc w:val="center"/>
        <w:rPr>
          <w:rFonts w:cstheme="minorHAnsi"/>
          <w:sz w:val="28"/>
          <w:szCs w:val="28"/>
        </w:rPr>
      </w:pPr>
    </w:p>
    <w:p w14:paraId="050175C3" w14:textId="0DABEFFB" w:rsidR="00163AB1" w:rsidRPr="001A5C81" w:rsidRDefault="00163AB1" w:rsidP="005B213E">
      <w:pPr>
        <w:contextualSpacing/>
        <w:jc w:val="center"/>
        <w:rPr>
          <w:rFonts w:cstheme="minorHAnsi"/>
          <w:bCs/>
          <w:spacing w:val="40"/>
          <w:sz w:val="72"/>
          <w:szCs w:val="72"/>
        </w:rPr>
      </w:pPr>
      <w:r>
        <w:rPr>
          <w:rFonts w:cstheme="minorHAnsi"/>
          <w:bCs/>
          <w:spacing w:val="40"/>
          <w:sz w:val="72"/>
          <w:szCs w:val="72"/>
        </w:rPr>
        <w:t>Request For Proposal</w:t>
      </w:r>
    </w:p>
    <w:p w14:paraId="240F6D9E" w14:textId="77777777" w:rsidR="00163AB1" w:rsidRDefault="00163AB1" w:rsidP="005B213E">
      <w:pPr>
        <w:contextualSpacing/>
        <w:jc w:val="center"/>
        <w:rPr>
          <w:rFonts w:cstheme="minorHAnsi"/>
          <w:b/>
          <w:sz w:val="32"/>
          <w:szCs w:val="32"/>
        </w:rPr>
      </w:pPr>
    </w:p>
    <w:p w14:paraId="7EED0D94" w14:textId="21BC17BA" w:rsidR="00163AB1" w:rsidRPr="001A5C81" w:rsidRDefault="00957BD8" w:rsidP="005B213E">
      <w:pPr>
        <w:contextualSpacing/>
        <w:jc w:val="center"/>
        <w:rPr>
          <w:rFonts w:cstheme="minorHAnsi"/>
          <w:bCs/>
          <w:spacing w:val="20"/>
          <w:sz w:val="40"/>
          <w:szCs w:val="40"/>
        </w:rPr>
      </w:pPr>
      <w:r>
        <w:rPr>
          <w:rFonts w:cstheme="minorHAnsi"/>
          <w:bCs/>
          <w:spacing w:val="20"/>
          <w:sz w:val="40"/>
          <w:szCs w:val="40"/>
        </w:rPr>
        <w:t>Senior Community Service Employment Program</w:t>
      </w:r>
    </w:p>
    <w:p w14:paraId="672ED608" w14:textId="77777777" w:rsidR="00163AB1" w:rsidRDefault="00163AB1" w:rsidP="005B213E">
      <w:pPr>
        <w:contextualSpacing/>
        <w:jc w:val="center"/>
        <w:rPr>
          <w:rFonts w:cstheme="minorHAnsi"/>
          <w:b/>
          <w:sz w:val="32"/>
          <w:szCs w:val="32"/>
        </w:rPr>
      </w:pPr>
    </w:p>
    <w:p w14:paraId="0AD5E712" w14:textId="77777777" w:rsidR="00163AB1" w:rsidRDefault="00163AB1" w:rsidP="005B213E">
      <w:pPr>
        <w:contextualSpacing/>
        <w:jc w:val="center"/>
        <w:rPr>
          <w:rFonts w:cstheme="minorHAnsi"/>
          <w:b/>
          <w:sz w:val="32"/>
          <w:szCs w:val="32"/>
        </w:rPr>
      </w:pPr>
    </w:p>
    <w:p w14:paraId="4B0E622C" w14:textId="7247A8EE" w:rsidR="00163AB1" w:rsidRPr="00562FFF" w:rsidRDefault="00163AB1" w:rsidP="005B213E">
      <w:pPr>
        <w:contextualSpacing/>
        <w:jc w:val="center"/>
        <w:rPr>
          <w:rFonts w:cstheme="minorHAnsi"/>
          <w:bCs/>
          <w:sz w:val="28"/>
          <w:szCs w:val="28"/>
        </w:rPr>
      </w:pPr>
      <w:r>
        <w:rPr>
          <w:rFonts w:cstheme="minorHAnsi"/>
          <w:bCs/>
          <w:sz w:val="28"/>
          <w:szCs w:val="28"/>
        </w:rPr>
        <w:t>RFP Number: #1263</w:t>
      </w:r>
    </w:p>
    <w:p w14:paraId="01D91A83" w14:textId="77777777" w:rsidR="00163AB1" w:rsidRDefault="00163AB1" w:rsidP="005B213E">
      <w:pPr>
        <w:contextualSpacing/>
        <w:jc w:val="center"/>
        <w:rPr>
          <w:rFonts w:cstheme="minorHAnsi"/>
          <w:b/>
          <w:sz w:val="32"/>
          <w:szCs w:val="32"/>
        </w:rPr>
      </w:pPr>
    </w:p>
    <w:p w14:paraId="00DAD5FB" w14:textId="77777777" w:rsidR="00163AB1" w:rsidRPr="001A5C81" w:rsidRDefault="00163AB1" w:rsidP="005B213E">
      <w:pPr>
        <w:contextualSpacing/>
        <w:jc w:val="center"/>
        <w:rPr>
          <w:rFonts w:cstheme="minorHAnsi"/>
          <w:b/>
          <w:sz w:val="32"/>
          <w:szCs w:val="32"/>
        </w:rPr>
      </w:pPr>
    </w:p>
    <w:p w14:paraId="664FAF1D" w14:textId="51C41E2D" w:rsidR="000D594E" w:rsidRDefault="000D594E">
      <w:pPr>
        <w:rPr>
          <w:rFonts w:cstheme="minorHAnsi"/>
          <w:b/>
          <w:color w:val="404040" w:themeColor="text1" w:themeTint="BF"/>
          <w:sz w:val="24"/>
          <w:szCs w:val="18"/>
        </w:rPr>
      </w:pPr>
      <w:r>
        <w:rPr>
          <w:rFonts w:cstheme="minorHAnsi"/>
          <w:b/>
          <w:color w:val="404040" w:themeColor="text1" w:themeTint="BF"/>
          <w:sz w:val="24"/>
          <w:szCs w:val="18"/>
        </w:rPr>
        <w:br w:type="page"/>
      </w:r>
    </w:p>
    <w:p w14:paraId="6BC67A4A" w14:textId="77777777" w:rsidR="00163AB1" w:rsidRDefault="00163AB1" w:rsidP="005B213E">
      <w:pPr>
        <w:jc w:val="center"/>
        <w:rPr>
          <w:rFonts w:cstheme="minorHAnsi"/>
          <w:b/>
          <w:color w:val="404040" w:themeColor="text1" w:themeTint="BF"/>
          <w:sz w:val="24"/>
          <w:szCs w:val="18"/>
        </w:rPr>
      </w:pPr>
    </w:p>
    <w:p w14:paraId="57EE429F" w14:textId="054FB5DD" w:rsidR="000D594E" w:rsidRPr="000D594E" w:rsidRDefault="000D594E" w:rsidP="005B213E">
      <w:pPr>
        <w:jc w:val="center"/>
        <w:rPr>
          <w:rFonts w:cstheme="minorHAnsi"/>
          <w:b/>
          <w:color w:val="404040" w:themeColor="text1" w:themeTint="BF"/>
          <w:spacing w:val="20"/>
          <w:sz w:val="28"/>
          <w:szCs w:val="20"/>
        </w:rPr>
      </w:pPr>
      <w:r>
        <w:rPr>
          <w:rFonts w:cstheme="minorHAnsi"/>
          <w:b/>
          <w:color w:val="404040" w:themeColor="text1" w:themeTint="BF"/>
          <w:spacing w:val="20"/>
          <w:sz w:val="28"/>
          <w:szCs w:val="20"/>
        </w:rPr>
        <w:t>Table of Contents</w:t>
      </w:r>
    </w:p>
    <w:p w14:paraId="19FDCD77" w14:textId="6AF3E84A" w:rsidR="00163AB1" w:rsidRDefault="00163AB1" w:rsidP="00C05259">
      <w:pPr>
        <w:jc w:val="center"/>
        <w:rPr>
          <w:rFonts w:cstheme="minorHAnsi"/>
          <w:b/>
          <w:color w:val="404040" w:themeColor="text1" w:themeTint="BF"/>
          <w:sz w:val="24"/>
          <w:szCs w:val="18"/>
        </w:rPr>
      </w:pPr>
    </w:p>
    <w:p w14:paraId="4A7CED73" w14:textId="77777777" w:rsidR="0065467C" w:rsidRPr="001A5C81" w:rsidRDefault="0065467C" w:rsidP="005B213E">
      <w:pPr>
        <w:jc w:val="both"/>
        <w:rPr>
          <w:rFonts w:cstheme="minorHAnsi"/>
          <w:b/>
          <w:color w:val="404040" w:themeColor="text1" w:themeTint="BF"/>
          <w:sz w:val="24"/>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1170"/>
      </w:tblGrid>
      <w:tr w:rsidR="000D594E" w:rsidRPr="001A5C81" w14:paraId="3922A267" w14:textId="77777777" w:rsidTr="000D594E">
        <w:trPr>
          <w:trHeight w:hRule="exact" w:val="288"/>
          <w:jc w:val="center"/>
        </w:trPr>
        <w:tc>
          <w:tcPr>
            <w:tcW w:w="8100" w:type="dxa"/>
            <w:vAlign w:val="center"/>
          </w:tcPr>
          <w:p w14:paraId="388454A2" w14:textId="2365D033" w:rsidR="000D594E" w:rsidRPr="00FD0BD2" w:rsidRDefault="000D594E" w:rsidP="005B213E">
            <w:pPr>
              <w:jc w:val="both"/>
              <w:rPr>
                <w:rFonts w:cstheme="minorHAnsi"/>
                <w:bCs/>
                <w:color w:val="404040" w:themeColor="text1" w:themeTint="BF"/>
                <w:spacing w:val="20"/>
              </w:rPr>
            </w:pPr>
            <w:r>
              <w:rPr>
                <w:rFonts w:cstheme="minorHAnsi"/>
                <w:bCs/>
                <w:color w:val="404040" w:themeColor="text1" w:themeTint="BF"/>
                <w:spacing w:val="20"/>
              </w:rPr>
              <w:t>RFP Section 1 - Administrative Information &amp; Overview</w:t>
            </w:r>
          </w:p>
        </w:tc>
        <w:tc>
          <w:tcPr>
            <w:tcW w:w="1170" w:type="dxa"/>
            <w:vAlign w:val="center"/>
          </w:tcPr>
          <w:p w14:paraId="47AFAA3C" w14:textId="5AA34BFA" w:rsidR="000D594E" w:rsidRPr="00FD0BD2" w:rsidRDefault="00631F4C" w:rsidP="005B213E">
            <w:pPr>
              <w:jc w:val="both"/>
              <w:rPr>
                <w:rFonts w:cstheme="minorHAnsi"/>
                <w:bCs/>
                <w:color w:val="404040" w:themeColor="text1" w:themeTint="BF"/>
                <w:spacing w:val="20"/>
              </w:rPr>
            </w:pPr>
            <w:r>
              <w:rPr>
                <w:rFonts w:cstheme="minorHAnsi"/>
                <w:bCs/>
                <w:color w:val="404040" w:themeColor="text1" w:themeTint="BF"/>
                <w:spacing w:val="20"/>
              </w:rPr>
              <w:t>Page 3</w:t>
            </w:r>
          </w:p>
        </w:tc>
      </w:tr>
      <w:tr w:rsidR="000D594E" w:rsidRPr="001A5C81" w14:paraId="06C6CB90" w14:textId="77777777" w:rsidTr="000D594E">
        <w:trPr>
          <w:trHeight w:hRule="exact" w:val="288"/>
          <w:jc w:val="center"/>
        </w:trPr>
        <w:tc>
          <w:tcPr>
            <w:tcW w:w="8100" w:type="dxa"/>
            <w:vAlign w:val="center"/>
          </w:tcPr>
          <w:p w14:paraId="7337EA0F" w14:textId="1C20DE9D" w:rsidR="000D594E" w:rsidRPr="00FD0BD2" w:rsidRDefault="000D594E" w:rsidP="005B213E">
            <w:pPr>
              <w:jc w:val="both"/>
              <w:rPr>
                <w:rFonts w:cstheme="minorHAnsi"/>
                <w:bCs/>
                <w:color w:val="404040" w:themeColor="text1" w:themeTint="BF"/>
                <w:spacing w:val="20"/>
              </w:rPr>
            </w:pPr>
            <w:r>
              <w:rPr>
                <w:rFonts w:cstheme="minorHAnsi"/>
                <w:bCs/>
                <w:color w:val="404040" w:themeColor="text1" w:themeTint="BF"/>
                <w:spacing w:val="20"/>
              </w:rPr>
              <w:t>RFP Section 2 - Format &amp; Submission Requirements</w:t>
            </w:r>
          </w:p>
        </w:tc>
        <w:tc>
          <w:tcPr>
            <w:tcW w:w="1170" w:type="dxa"/>
            <w:vAlign w:val="center"/>
          </w:tcPr>
          <w:p w14:paraId="431B3B82" w14:textId="42226EA3" w:rsidR="000D594E" w:rsidRPr="00FD0BD2" w:rsidRDefault="00631F4C" w:rsidP="005B213E">
            <w:pPr>
              <w:jc w:val="both"/>
              <w:rPr>
                <w:rFonts w:cstheme="minorHAnsi"/>
                <w:bCs/>
                <w:color w:val="404040" w:themeColor="text1" w:themeTint="BF"/>
                <w:spacing w:val="20"/>
              </w:rPr>
            </w:pPr>
            <w:r>
              <w:rPr>
                <w:rFonts w:cstheme="minorHAnsi"/>
                <w:bCs/>
                <w:color w:val="404040" w:themeColor="text1" w:themeTint="BF"/>
                <w:spacing w:val="20"/>
              </w:rPr>
              <w:t>Page 6</w:t>
            </w:r>
          </w:p>
        </w:tc>
      </w:tr>
      <w:tr w:rsidR="000D594E" w:rsidRPr="001A5C81" w14:paraId="5AF1587A" w14:textId="77777777" w:rsidTr="000D594E">
        <w:trPr>
          <w:trHeight w:hRule="exact" w:val="288"/>
          <w:jc w:val="center"/>
        </w:trPr>
        <w:tc>
          <w:tcPr>
            <w:tcW w:w="8100" w:type="dxa"/>
            <w:vAlign w:val="center"/>
          </w:tcPr>
          <w:p w14:paraId="17D5684A" w14:textId="3408FF75" w:rsidR="000D594E" w:rsidRPr="00FD0BD2" w:rsidRDefault="000D594E" w:rsidP="005B213E">
            <w:pPr>
              <w:jc w:val="both"/>
              <w:rPr>
                <w:rFonts w:cstheme="minorHAnsi"/>
                <w:bCs/>
                <w:color w:val="404040" w:themeColor="text1" w:themeTint="BF"/>
                <w:spacing w:val="20"/>
              </w:rPr>
            </w:pPr>
            <w:r>
              <w:rPr>
                <w:rFonts w:cstheme="minorHAnsi"/>
                <w:bCs/>
                <w:color w:val="404040" w:themeColor="text1" w:themeTint="BF"/>
                <w:spacing w:val="20"/>
              </w:rPr>
              <w:t>RFP Section 3 - Proposal Contents</w:t>
            </w:r>
          </w:p>
        </w:tc>
        <w:tc>
          <w:tcPr>
            <w:tcW w:w="1170" w:type="dxa"/>
            <w:vAlign w:val="center"/>
          </w:tcPr>
          <w:p w14:paraId="710EAC35" w14:textId="6AE92DAD" w:rsidR="000D594E" w:rsidRPr="00FD0BD2" w:rsidRDefault="00631F4C" w:rsidP="005B213E">
            <w:pPr>
              <w:jc w:val="both"/>
              <w:rPr>
                <w:rFonts w:cstheme="minorHAnsi"/>
                <w:bCs/>
                <w:color w:val="404040" w:themeColor="text1" w:themeTint="BF"/>
                <w:spacing w:val="20"/>
              </w:rPr>
            </w:pPr>
            <w:r>
              <w:rPr>
                <w:rFonts w:cstheme="minorHAnsi"/>
                <w:bCs/>
                <w:color w:val="404040" w:themeColor="text1" w:themeTint="BF"/>
                <w:spacing w:val="20"/>
              </w:rPr>
              <w:t>Page 9</w:t>
            </w:r>
          </w:p>
        </w:tc>
      </w:tr>
      <w:tr w:rsidR="000D594E" w:rsidRPr="001A5C81" w14:paraId="26FF3ED8" w14:textId="77777777" w:rsidTr="000D594E">
        <w:trPr>
          <w:trHeight w:hRule="exact" w:val="288"/>
          <w:jc w:val="center"/>
        </w:trPr>
        <w:tc>
          <w:tcPr>
            <w:tcW w:w="8100" w:type="dxa"/>
            <w:vAlign w:val="center"/>
          </w:tcPr>
          <w:p w14:paraId="517CED39" w14:textId="583CFDD9" w:rsidR="000D594E" w:rsidRPr="00FD0BD2" w:rsidRDefault="000D594E" w:rsidP="005B213E">
            <w:pPr>
              <w:jc w:val="both"/>
              <w:rPr>
                <w:rFonts w:cstheme="minorHAnsi"/>
                <w:bCs/>
                <w:color w:val="404040" w:themeColor="text1" w:themeTint="BF"/>
                <w:spacing w:val="20"/>
              </w:rPr>
            </w:pPr>
            <w:r>
              <w:rPr>
                <w:rFonts w:cstheme="minorHAnsi"/>
                <w:bCs/>
                <w:color w:val="404040" w:themeColor="text1" w:themeTint="BF"/>
                <w:spacing w:val="20"/>
              </w:rPr>
              <w:t>RFP Section 4 - Evaluation &amp; Award Procedures</w:t>
            </w:r>
          </w:p>
        </w:tc>
        <w:tc>
          <w:tcPr>
            <w:tcW w:w="1170" w:type="dxa"/>
            <w:vAlign w:val="center"/>
          </w:tcPr>
          <w:p w14:paraId="40A57827" w14:textId="2C44F997" w:rsidR="000D594E" w:rsidRPr="00FD0BD2" w:rsidRDefault="00631F4C" w:rsidP="005B213E">
            <w:pPr>
              <w:jc w:val="both"/>
              <w:rPr>
                <w:rFonts w:cstheme="minorHAnsi"/>
                <w:bCs/>
                <w:color w:val="404040" w:themeColor="text1" w:themeTint="BF"/>
                <w:spacing w:val="20"/>
              </w:rPr>
            </w:pPr>
            <w:r>
              <w:rPr>
                <w:rFonts w:cstheme="minorHAnsi"/>
                <w:bCs/>
                <w:color w:val="404040" w:themeColor="text1" w:themeTint="BF"/>
                <w:spacing w:val="20"/>
              </w:rPr>
              <w:t>Page 11</w:t>
            </w:r>
          </w:p>
        </w:tc>
      </w:tr>
      <w:tr w:rsidR="000D594E" w:rsidRPr="001A5C81" w14:paraId="2773AEE7" w14:textId="77777777" w:rsidTr="000D594E">
        <w:trPr>
          <w:trHeight w:hRule="exact" w:val="288"/>
          <w:jc w:val="center"/>
        </w:trPr>
        <w:tc>
          <w:tcPr>
            <w:tcW w:w="8100" w:type="dxa"/>
            <w:vAlign w:val="center"/>
          </w:tcPr>
          <w:p w14:paraId="3A923D95" w14:textId="3A27FF7A" w:rsidR="000D594E" w:rsidRPr="00FD0BD2" w:rsidRDefault="000D594E" w:rsidP="002C7643">
            <w:pPr>
              <w:jc w:val="both"/>
              <w:rPr>
                <w:rFonts w:cstheme="minorHAnsi"/>
                <w:bCs/>
                <w:color w:val="404040" w:themeColor="text1" w:themeTint="BF"/>
                <w:spacing w:val="20"/>
              </w:rPr>
            </w:pPr>
          </w:p>
        </w:tc>
        <w:tc>
          <w:tcPr>
            <w:tcW w:w="1170" w:type="dxa"/>
            <w:vAlign w:val="center"/>
          </w:tcPr>
          <w:p w14:paraId="17515D44" w14:textId="1C09AC69" w:rsidR="000D594E" w:rsidRPr="00FD0BD2" w:rsidRDefault="000D594E" w:rsidP="002C7643">
            <w:pPr>
              <w:jc w:val="both"/>
              <w:rPr>
                <w:rFonts w:cstheme="minorHAnsi"/>
                <w:bCs/>
                <w:color w:val="404040" w:themeColor="text1" w:themeTint="BF"/>
                <w:spacing w:val="20"/>
              </w:rPr>
            </w:pPr>
          </w:p>
        </w:tc>
      </w:tr>
      <w:tr w:rsidR="00006FE2" w:rsidRPr="001A5C81" w14:paraId="3C2DDA26" w14:textId="77777777" w:rsidTr="002C7643">
        <w:trPr>
          <w:trHeight w:hRule="exact" w:val="288"/>
          <w:jc w:val="center"/>
        </w:trPr>
        <w:tc>
          <w:tcPr>
            <w:tcW w:w="8100" w:type="dxa"/>
            <w:vAlign w:val="center"/>
          </w:tcPr>
          <w:p w14:paraId="00AB4715" w14:textId="203ECB3C" w:rsidR="00006FE2" w:rsidRPr="00FD0BD2" w:rsidRDefault="00006FE2" w:rsidP="00006FE2">
            <w:pPr>
              <w:ind w:hanging="19"/>
              <w:jc w:val="both"/>
              <w:rPr>
                <w:rFonts w:cstheme="minorHAnsi"/>
                <w:bCs/>
                <w:color w:val="404040" w:themeColor="text1" w:themeTint="BF"/>
                <w:spacing w:val="20"/>
              </w:rPr>
            </w:pPr>
            <w:r>
              <w:rPr>
                <w:rFonts w:cstheme="minorHAnsi"/>
                <w:bCs/>
                <w:color w:val="404040" w:themeColor="text1" w:themeTint="BF"/>
                <w:spacing w:val="20"/>
              </w:rPr>
              <w:t>Exhibit 1 – Definitions</w:t>
            </w:r>
          </w:p>
        </w:tc>
        <w:tc>
          <w:tcPr>
            <w:tcW w:w="1170" w:type="dxa"/>
          </w:tcPr>
          <w:p w14:paraId="45D29F16" w14:textId="2C8B7AB9" w:rsidR="00006FE2" w:rsidRPr="00FD0BD2" w:rsidRDefault="00006FE2" w:rsidP="00006FE2">
            <w:pPr>
              <w:jc w:val="both"/>
              <w:rPr>
                <w:rFonts w:cstheme="minorHAnsi"/>
                <w:bCs/>
                <w:color w:val="404040" w:themeColor="text1" w:themeTint="BF"/>
                <w:spacing w:val="20"/>
              </w:rPr>
            </w:pPr>
            <w:r>
              <w:rPr>
                <w:rFonts w:cstheme="minorHAnsi"/>
                <w:bCs/>
                <w:color w:val="404040" w:themeColor="text1" w:themeTint="BF"/>
                <w:spacing w:val="20"/>
              </w:rPr>
              <w:t>Page 15</w:t>
            </w:r>
          </w:p>
        </w:tc>
      </w:tr>
      <w:tr w:rsidR="00006FE2" w:rsidRPr="001A5C81" w14:paraId="1D14225F" w14:textId="77777777" w:rsidTr="002C7643">
        <w:trPr>
          <w:trHeight w:hRule="exact" w:val="288"/>
          <w:jc w:val="center"/>
        </w:trPr>
        <w:tc>
          <w:tcPr>
            <w:tcW w:w="8100" w:type="dxa"/>
            <w:vAlign w:val="center"/>
          </w:tcPr>
          <w:p w14:paraId="6E7F56C1" w14:textId="63C1CC16" w:rsidR="00006FE2" w:rsidRPr="00FD0BD2" w:rsidRDefault="00006FE2" w:rsidP="00006FE2">
            <w:pPr>
              <w:jc w:val="both"/>
              <w:rPr>
                <w:rFonts w:cstheme="minorHAnsi"/>
                <w:bCs/>
                <w:color w:val="404040" w:themeColor="text1" w:themeTint="BF"/>
                <w:spacing w:val="20"/>
              </w:rPr>
            </w:pPr>
            <w:r>
              <w:rPr>
                <w:rFonts w:cstheme="minorHAnsi"/>
                <w:bCs/>
                <w:color w:val="404040" w:themeColor="text1" w:themeTint="BF"/>
                <w:spacing w:val="20"/>
              </w:rPr>
              <w:t>Exhibit 2 – Background Information</w:t>
            </w:r>
          </w:p>
        </w:tc>
        <w:tc>
          <w:tcPr>
            <w:tcW w:w="1170" w:type="dxa"/>
          </w:tcPr>
          <w:p w14:paraId="2630114B" w14:textId="6661301A" w:rsidR="00006FE2" w:rsidRPr="00FD0BD2" w:rsidRDefault="00006FE2" w:rsidP="00006FE2">
            <w:pPr>
              <w:jc w:val="both"/>
              <w:rPr>
                <w:rFonts w:cstheme="minorHAnsi"/>
                <w:bCs/>
                <w:color w:val="404040" w:themeColor="text1" w:themeTint="BF"/>
                <w:spacing w:val="20"/>
              </w:rPr>
            </w:pPr>
            <w:r>
              <w:rPr>
                <w:rFonts w:cstheme="minorHAnsi"/>
                <w:bCs/>
                <w:color w:val="404040" w:themeColor="text1" w:themeTint="BF"/>
                <w:spacing w:val="20"/>
              </w:rPr>
              <w:t>Page 23</w:t>
            </w:r>
          </w:p>
        </w:tc>
      </w:tr>
      <w:tr w:rsidR="00006FE2" w:rsidRPr="001A5C81" w14:paraId="7C4A2A9B" w14:textId="77777777" w:rsidTr="002C7643">
        <w:trPr>
          <w:trHeight w:hRule="exact" w:val="288"/>
          <w:jc w:val="center"/>
        </w:trPr>
        <w:tc>
          <w:tcPr>
            <w:tcW w:w="8100" w:type="dxa"/>
            <w:vAlign w:val="center"/>
          </w:tcPr>
          <w:p w14:paraId="03A61D5A" w14:textId="01A47720" w:rsidR="00006FE2" w:rsidRPr="00FD0BD2" w:rsidRDefault="00006FE2" w:rsidP="00006FE2">
            <w:pPr>
              <w:jc w:val="both"/>
              <w:rPr>
                <w:rFonts w:cstheme="minorHAnsi"/>
                <w:bCs/>
                <w:color w:val="404040" w:themeColor="text1" w:themeTint="BF"/>
                <w:spacing w:val="20"/>
              </w:rPr>
            </w:pPr>
            <w:r>
              <w:rPr>
                <w:rFonts w:cstheme="minorHAnsi"/>
                <w:bCs/>
                <w:color w:val="404040" w:themeColor="text1" w:themeTint="BF"/>
                <w:spacing w:val="20"/>
              </w:rPr>
              <w:t>Exhibit 3 – General Requirements</w:t>
            </w:r>
          </w:p>
        </w:tc>
        <w:tc>
          <w:tcPr>
            <w:tcW w:w="1170" w:type="dxa"/>
          </w:tcPr>
          <w:p w14:paraId="16C0C4CA" w14:textId="6392C3A8" w:rsidR="00006FE2" w:rsidRPr="00FD0BD2" w:rsidRDefault="00006FE2" w:rsidP="00006FE2">
            <w:pPr>
              <w:jc w:val="both"/>
              <w:rPr>
                <w:rFonts w:cstheme="minorHAnsi"/>
                <w:bCs/>
                <w:color w:val="404040" w:themeColor="text1" w:themeTint="BF"/>
                <w:spacing w:val="20"/>
              </w:rPr>
            </w:pPr>
            <w:r>
              <w:rPr>
                <w:rFonts w:cstheme="minorHAnsi"/>
                <w:bCs/>
                <w:color w:val="404040" w:themeColor="text1" w:themeTint="BF"/>
                <w:spacing w:val="20"/>
              </w:rPr>
              <w:t>Page 25</w:t>
            </w:r>
          </w:p>
        </w:tc>
      </w:tr>
      <w:tr w:rsidR="00006FE2" w:rsidRPr="001A5C81" w14:paraId="5396353D" w14:textId="77777777" w:rsidTr="002C7643">
        <w:trPr>
          <w:trHeight w:hRule="exact" w:val="288"/>
          <w:jc w:val="center"/>
        </w:trPr>
        <w:tc>
          <w:tcPr>
            <w:tcW w:w="8100" w:type="dxa"/>
            <w:vAlign w:val="center"/>
          </w:tcPr>
          <w:p w14:paraId="0713C8E4" w14:textId="502F0539" w:rsidR="00006FE2" w:rsidRPr="00FD0BD2" w:rsidRDefault="00006FE2" w:rsidP="00006FE2">
            <w:pPr>
              <w:jc w:val="both"/>
              <w:rPr>
                <w:rFonts w:cstheme="minorHAnsi"/>
                <w:bCs/>
                <w:color w:val="404040" w:themeColor="text1" w:themeTint="BF"/>
                <w:spacing w:val="20"/>
              </w:rPr>
            </w:pPr>
            <w:r>
              <w:rPr>
                <w:rFonts w:cstheme="minorHAnsi"/>
                <w:bCs/>
                <w:color w:val="404040" w:themeColor="text1" w:themeTint="BF"/>
                <w:spacing w:val="20"/>
              </w:rPr>
              <w:t>Exhibit 4 – Scope of Work</w:t>
            </w:r>
          </w:p>
        </w:tc>
        <w:tc>
          <w:tcPr>
            <w:tcW w:w="1170" w:type="dxa"/>
          </w:tcPr>
          <w:p w14:paraId="1D0E95D1" w14:textId="69551667" w:rsidR="00006FE2" w:rsidRPr="00FD0BD2" w:rsidRDefault="00006FE2" w:rsidP="00006FE2">
            <w:pPr>
              <w:jc w:val="both"/>
              <w:rPr>
                <w:rFonts w:cstheme="minorHAnsi"/>
                <w:bCs/>
                <w:color w:val="404040" w:themeColor="text1" w:themeTint="BF"/>
                <w:spacing w:val="20"/>
              </w:rPr>
            </w:pPr>
            <w:r>
              <w:rPr>
                <w:rFonts w:cstheme="minorHAnsi"/>
                <w:bCs/>
                <w:color w:val="404040" w:themeColor="text1" w:themeTint="BF"/>
                <w:spacing w:val="20"/>
              </w:rPr>
              <w:t>Page 29</w:t>
            </w:r>
          </w:p>
        </w:tc>
      </w:tr>
      <w:tr w:rsidR="00006FE2" w:rsidRPr="001A5C81" w14:paraId="1023ACDA" w14:textId="77777777" w:rsidTr="002C7643">
        <w:trPr>
          <w:trHeight w:hRule="exact" w:val="288"/>
          <w:jc w:val="center"/>
        </w:trPr>
        <w:tc>
          <w:tcPr>
            <w:tcW w:w="8100" w:type="dxa"/>
            <w:vAlign w:val="center"/>
          </w:tcPr>
          <w:p w14:paraId="4561A519" w14:textId="7F3049A6" w:rsidR="00006FE2" w:rsidRPr="00FD0BD2" w:rsidRDefault="00006FE2" w:rsidP="00006FE2">
            <w:pPr>
              <w:jc w:val="both"/>
              <w:rPr>
                <w:rFonts w:cstheme="minorHAnsi"/>
                <w:bCs/>
                <w:color w:val="404040" w:themeColor="text1" w:themeTint="BF"/>
                <w:spacing w:val="20"/>
              </w:rPr>
            </w:pPr>
            <w:r>
              <w:rPr>
                <w:rFonts w:cstheme="minorHAnsi"/>
                <w:bCs/>
                <w:color w:val="404040" w:themeColor="text1" w:themeTint="BF"/>
                <w:spacing w:val="20"/>
              </w:rPr>
              <w:t>Exhibit 5 – Veteran’s Priority of Service Policy</w:t>
            </w:r>
          </w:p>
        </w:tc>
        <w:tc>
          <w:tcPr>
            <w:tcW w:w="1170" w:type="dxa"/>
          </w:tcPr>
          <w:p w14:paraId="4E077BC2" w14:textId="18140B92" w:rsidR="00006FE2" w:rsidRPr="00FD0BD2" w:rsidRDefault="00006FE2" w:rsidP="00006FE2">
            <w:pPr>
              <w:jc w:val="both"/>
              <w:rPr>
                <w:rFonts w:cstheme="minorHAnsi"/>
                <w:bCs/>
                <w:color w:val="404040" w:themeColor="text1" w:themeTint="BF"/>
                <w:spacing w:val="20"/>
              </w:rPr>
            </w:pPr>
            <w:r>
              <w:rPr>
                <w:rFonts w:cstheme="minorHAnsi"/>
                <w:bCs/>
                <w:color w:val="404040" w:themeColor="text1" w:themeTint="BF"/>
                <w:spacing w:val="20"/>
              </w:rPr>
              <w:t>Page 42</w:t>
            </w:r>
          </w:p>
        </w:tc>
      </w:tr>
      <w:tr w:rsidR="00006FE2" w:rsidRPr="001A5C81" w14:paraId="5A888F2C" w14:textId="77777777" w:rsidTr="002C7643">
        <w:trPr>
          <w:trHeight w:hRule="exact" w:val="288"/>
          <w:jc w:val="center"/>
        </w:trPr>
        <w:tc>
          <w:tcPr>
            <w:tcW w:w="8100" w:type="dxa"/>
            <w:vAlign w:val="center"/>
          </w:tcPr>
          <w:p w14:paraId="0E4016E4" w14:textId="7EBDB663" w:rsidR="00006FE2" w:rsidRPr="00FD0BD2" w:rsidRDefault="00006FE2" w:rsidP="00006FE2">
            <w:pPr>
              <w:jc w:val="both"/>
              <w:rPr>
                <w:rFonts w:cstheme="minorHAnsi"/>
                <w:bCs/>
                <w:color w:val="404040" w:themeColor="text1" w:themeTint="BF"/>
                <w:spacing w:val="20"/>
              </w:rPr>
            </w:pPr>
            <w:r>
              <w:rPr>
                <w:rFonts w:cstheme="minorHAnsi"/>
                <w:bCs/>
                <w:color w:val="404040" w:themeColor="text1" w:themeTint="BF"/>
                <w:spacing w:val="20"/>
              </w:rPr>
              <w:t>Exhibit 6 – Durational Limits Policy</w:t>
            </w:r>
          </w:p>
        </w:tc>
        <w:tc>
          <w:tcPr>
            <w:tcW w:w="1170" w:type="dxa"/>
          </w:tcPr>
          <w:p w14:paraId="4BBADBA1" w14:textId="04444F50" w:rsidR="00006FE2" w:rsidRPr="00FD0BD2" w:rsidRDefault="00006FE2" w:rsidP="00006FE2">
            <w:pPr>
              <w:jc w:val="both"/>
              <w:rPr>
                <w:rFonts w:cstheme="minorHAnsi"/>
                <w:bCs/>
                <w:color w:val="404040" w:themeColor="text1" w:themeTint="BF"/>
                <w:spacing w:val="20"/>
              </w:rPr>
            </w:pPr>
            <w:r>
              <w:rPr>
                <w:rFonts w:cstheme="minorHAnsi"/>
                <w:bCs/>
                <w:color w:val="404040" w:themeColor="text1" w:themeTint="BF"/>
                <w:spacing w:val="20"/>
              </w:rPr>
              <w:t>Page 43</w:t>
            </w:r>
          </w:p>
        </w:tc>
      </w:tr>
      <w:tr w:rsidR="00006FE2" w:rsidRPr="001A5C81" w14:paraId="328ED735" w14:textId="77777777" w:rsidTr="002C7643">
        <w:trPr>
          <w:trHeight w:hRule="exact" w:val="288"/>
          <w:jc w:val="center"/>
        </w:trPr>
        <w:tc>
          <w:tcPr>
            <w:tcW w:w="8100" w:type="dxa"/>
            <w:vAlign w:val="center"/>
          </w:tcPr>
          <w:p w14:paraId="6B8BA74C" w14:textId="23FF50D9" w:rsidR="00006FE2" w:rsidRPr="00FD0BD2" w:rsidRDefault="00006FE2" w:rsidP="00006FE2">
            <w:pPr>
              <w:jc w:val="both"/>
              <w:rPr>
                <w:rFonts w:cstheme="minorHAnsi"/>
                <w:bCs/>
                <w:color w:val="404040" w:themeColor="text1" w:themeTint="BF"/>
                <w:spacing w:val="20"/>
              </w:rPr>
            </w:pPr>
            <w:r>
              <w:rPr>
                <w:rFonts w:cstheme="minorHAnsi"/>
                <w:bCs/>
                <w:color w:val="404040" w:themeColor="text1" w:themeTint="BF"/>
                <w:spacing w:val="20"/>
              </w:rPr>
              <w:t>Exhibit 7 – Participant Termination Policy</w:t>
            </w:r>
          </w:p>
        </w:tc>
        <w:tc>
          <w:tcPr>
            <w:tcW w:w="1170" w:type="dxa"/>
          </w:tcPr>
          <w:p w14:paraId="679DFA0E" w14:textId="54BE875C" w:rsidR="00006FE2" w:rsidRPr="00FD0BD2" w:rsidRDefault="00006FE2" w:rsidP="00006FE2">
            <w:pPr>
              <w:jc w:val="both"/>
              <w:rPr>
                <w:rFonts w:cstheme="minorHAnsi"/>
                <w:bCs/>
                <w:color w:val="404040" w:themeColor="text1" w:themeTint="BF"/>
                <w:spacing w:val="20"/>
              </w:rPr>
            </w:pPr>
            <w:r>
              <w:rPr>
                <w:rFonts w:cstheme="minorHAnsi"/>
                <w:bCs/>
                <w:color w:val="404040" w:themeColor="text1" w:themeTint="BF"/>
                <w:spacing w:val="20"/>
              </w:rPr>
              <w:t>Page 44</w:t>
            </w:r>
          </w:p>
        </w:tc>
      </w:tr>
      <w:tr w:rsidR="00006FE2" w:rsidRPr="001A5C81" w14:paraId="758BB538" w14:textId="77777777" w:rsidTr="002C7643">
        <w:trPr>
          <w:trHeight w:hRule="exact" w:val="288"/>
          <w:jc w:val="center"/>
        </w:trPr>
        <w:tc>
          <w:tcPr>
            <w:tcW w:w="8100" w:type="dxa"/>
            <w:vAlign w:val="center"/>
          </w:tcPr>
          <w:p w14:paraId="18401148" w14:textId="47706A5A" w:rsidR="00006FE2" w:rsidRPr="00FD0BD2" w:rsidRDefault="00006FE2" w:rsidP="00006FE2">
            <w:pPr>
              <w:jc w:val="both"/>
              <w:rPr>
                <w:rFonts w:cstheme="minorHAnsi"/>
                <w:bCs/>
                <w:color w:val="404040" w:themeColor="text1" w:themeTint="BF"/>
                <w:spacing w:val="20"/>
              </w:rPr>
            </w:pPr>
            <w:r>
              <w:rPr>
                <w:rFonts w:cstheme="minorHAnsi"/>
                <w:bCs/>
                <w:color w:val="404040" w:themeColor="text1" w:themeTint="BF"/>
                <w:spacing w:val="20"/>
              </w:rPr>
              <w:t>Exhibit 8 – Participant Grievance Policy</w:t>
            </w:r>
          </w:p>
        </w:tc>
        <w:tc>
          <w:tcPr>
            <w:tcW w:w="1170" w:type="dxa"/>
          </w:tcPr>
          <w:p w14:paraId="6CE3ADB4" w14:textId="52B7E357" w:rsidR="00006FE2" w:rsidRPr="00FD0BD2" w:rsidRDefault="00006FE2" w:rsidP="00006FE2">
            <w:pPr>
              <w:jc w:val="both"/>
              <w:rPr>
                <w:rFonts w:cstheme="minorHAnsi"/>
                <w:bCs/>
                <w:color w:val="404040" w:themeColor="text1" w:themeTint="BF"/>
                <w:spacing w:val="20"/>
              </w:rPr>
            </w:pPr>
            <w:r>
              <w:rPr>
                <w:rFonts w:cstheme="minorHAnsi"/>
                <w:bCs/>
                <w:color w:val="404040" w:themeColor="text1" w:themeTint="BF"/>
                <w:spacing w:val="20"/>
              </w:rPr>
              <w:t>Page 45</w:t>
            </w:r>
          </w:p>
        </w:tc>
      </w:tr>
      <w:tr w:rsidR="00006FE2" w:rsidRPr="001A5C81" w14:paraId="55F0A305" w14:textId="77777777" w:rsidTr="002C7643">
        <w:trPr>
          <w:trHeight w:hRule="exact" w:val="288"/>
          <w:jc w:val="center"/>
        </w:trPr>
        <w:tc>
          <w:tcPr>
            <w:tcW w:w="8100" w:type="dxa"/>
            <w:vAlign w:val="center"/>
          </w:tcPr>
          <w:p w14:paraId="34AA3DC6" w14:textId="58B88835" w:rsidR="00006FE2" w:rsidRDefault="00006FE2" w:rsidP="00006FE2">
            <w:pPr>
              <w:jc w:val="both"/>
              <w:rPr>
                <w:rFonts w:cstheme="minorHAnsi"/>
                <w:bCs/>
                <w:color w:val="404040" w:themeColor="text1" w:themeTint="BF"/>
                <w:spacing w:val="20"/>
              </w:rPr>
            </w:pPr>
            <w:r>
              <w:rPr>
                <w:rFonts w:cstheme="minorHAnsi"/>
                <w:bCs/>
                <w:color w:val="404040" w:themeColor="text1" w:themeTint="BF"/>
                <w:spacing w:val="20"/>
              </w:rPr>
              <w:t>Exhibit 9 – Pre-Proposal Conference Registration Form</w:t>
            </w:r>
          </w:p>
        </w:tc>
        <w:tc>
          <w:tcPr>
            <w:tcW w:w="1170" w:type="dxa"/>
          </w:tcPr>
          <w:p w14:paraId="0210B4B1" w14:textId="5F62FFBD" w:rsidR="00006FE2" w:rsidRDefault="00006FE2" w:rsidP="00006FE2">
            <w:pPr>
              <w:jc w:val="both"/>
              <w:rPr>
                <w:rFonts w:cstheme="minorHAnsi"/>
                <w:bCs/>
                <w:color w:val="404040" w:themeColor="text1" w:themeTint="BF"/>
                <w:spacing w:val="20"/>
              </w:rPr>
            </w:pPr>
            <w:r>
              <w:rPr>
                <w:rFonts w:cstheme="minorHAnsi"/>
                <w:bCs/>
                <w:color w:val="404040" w:themeColor="text1" w:themeTint="BF"/>
                <w:spacing w:val="20"/>
              </w:rPr>
              <w:t>Page 46</w:t>
            </w:r>
          </w:p>
        </w:tc>
      </w:tr>
      <w:tr w:rsidR="00006FE2" w:rsidRPr="001A5C81" w14:paraId="48792EFA" w14:textId="77777777" w:rsidTr="002C7643">
        <w:trPr>
          <w:trHeight w:hRule="exact" w:val="288"/>
          <w:jc w:val="center"/>
        </w:trPr>
        <w:tc>
          <w:tcPr>
            <w:tcW w:w="8100" w:type="dxa"/>
            <w:vAlign w:val="center"/>
          </w:tcPr>
          <w:p w14:paraId="0BAAE3EB" w14:textId="7333D218" w:rsidR="00006FE2" w:rsidRDefault="00006FE2" w:rsidP="00006FE2">
            <w:pPr>
              <w:jc w:val="both"/>
              <w:rPr>
                <w:rFonts w:cstheme="minorHAnsi"/>
                <w:bCs/>
                <w:color w:val="404040" w:themeColor="text1" w:themeTint="BF"/>
                <w:spacing w:val="20"/>
              </w:rPr>
            </w:pPr>
            <w:r>
              <w:rPr>
                <w:rFonts w:cstheme="minorHAnsi"/>
                <w:bCs/>
                <w:color w:val="404040" w:themeColor="text1" w:themeTint="BF"/>
                <w:spacing w:val="20"/>
              </w:rPr>
              <w:t xml:space="preserve">Exhibit 10 – Question </w:t>
            </w:r>
          </w:p>
        </w:tc>
        <w:tc>
          <w:tcPr>
            <w:tcW w:w="1170" w:type="dxa"/>
          </w:tcPr>
          <w:p w14:paraId="35F66478" w14:textId="513E374F" w:rsidR="00006FE2" w:rsidRDefault="00006FE2" w:rsidP="00006FE2">
            <w:pPr>
              <w:jc w:val="both"/>
              <w:rPr>
                <w:rFonts w:cstheme="minorHAnsi"/>
                <w:bCs/>
                <w:color w:val="404040" w:themeColor="text1" w:themeTint="BF"/>
                <w:spacing w:val="20"/>
              </w:rPr>
            </w:pPr>
            <w:r>
              <w:rPr>
                <w:rFonts w:cstheme="minorHAnsi"/>
                <w:bCs/>
                <w:color w:val="404040" w:themeColor="text1" w:themeTint="BF"/>
                <w:spacing w:val="20"/>
              </w:rPr>
              <w:t>Page 47</w:t>
            </w:r>
          </w:p>
        </w:tc>
      </w:tr>
      <w:tr w:rsidR="00006FE2" w:rsidRPr="001A5C81" w14:paraId="3775F1D9" w14:textId="77777777" w:rsidTr="002C7643">
        <w:trPr>
          <w:trHeight w:hRule="exact" w:val="288"/>
          <w:jc w:val="center"/>
        </w:trPr>
        <w:tc>
          <w:tcPr>
            <w:tcW w:w="8100" w:type="dxa"/>
            <w:vAlign w:val="center"/>
          </w:tcPr>
          <w:p w14:paraId="6C0C0F6C" w14:textId="0EFE8502" w:rsidR="00006FE2" w:rsidRDefault="00006FE2" w:rsidP="00006FE2">
            <w:pPr>
              <w:jc w:val="both"/>
              <w:rPr>
                <w:rFonts w:cstheme="minorHAnsi"/>
                <w:bCs/>
                <w:color w:val="404040" w:themeColor="text1" w:themeTint="BF"/>
                <w:spacing w:val="20"/>
              </w:rPr>
            </w:pPr>
            <w:r>
              <w:rPr>
                <w:rFonts w:cstheme="minorHAnsi"/>
                <w:bCs/>
                <w:color w:val="404040" w:themeColor="text1" w:themeTint="BF"/>
                <w:spacing w:val="20"/>
              </w:rPr>
              <w:t xml:space="preserve">Exhibit 11 – Modifications and Exceptions </w:t>
            </w:r>
          </w:p>
        </w:tc>
        <w:tc>
          <w:tcPr>
            <w:tcW w:w="1170" w:type="dxa"/>
          </w:tcPr>
          <w:p w14:paraId="25B8A3F0" w14:textId="634D9B2D" w:rsidR="00006FE2" w:rsidRDefault="00006FE2" w:rsidP="00006FE2">
            <w:pPr>
              <w:jc w:val="both"/>
              <w:rPr>
                <w:rFonts w:cstheme="minorHAnsi"/>
                <w:bCs/>
                <w:color w:val="404040" w:themeColor="text1" w:themeTint="BF"/>
                <w:spacing w:val="20"/>
              </w:rPr>
            </w:pPr>
            <w:r>
              <w:rPr>
                <w:rFonts w:cstheme="minorHAnsi"/>
                <w:bCs/>
                <w:color w:val="404040" w:themeColor="text1" w:themeTint="BF"/>
                <w:spacing w:val="20"/>
              </w:rPr>
              <w:t>Page 49</w:t>
            </w:r>
          </w:p>
        </w:tc>
      </w:tr>
      <w:tr w:rsidR="000D594E" w:rsidRPr="001A5C81" w14:paraId="66F8FFF4" w14:textId="77777777" w:rsidTr="000D594E">
        <w:trPr>
          <w:trHeight w:hRule="exact" w:val="288"/>
          <w:jc w:val="center"/>
        </w:trPr>
        <w:tc>
          <w:tcPr>
            <w:tcW w:w="8100" w:type="dxa"/>
            <w:vAlign w:val="center"/>
          </w:tcPr>
          <w:p w14:paraId="0203BA6E" w14:textId="16AFD907" w:rsidR="000D594E" w:rsidRPr="00FD0BD2" w:rsidRDefault="000D594E" w:rsidP="005B213E">
            <w:pPr>
              <w:jc w:val="both"/>
              <w:rPr>
                <w:rFonts w:cstheme="minorHAnsi"/>
                <w:bCs/>
                <w:color w:val="404040" w:themeColor="text1" w:themeTint="BF"/>
                <w:spacing w:val="20"/>
              </w:rPr>
            </w:pPr>
          </w:p>
        </w:tc>
        <w:tc>
          <w:tcPr>
            <w:tcW w:w="1170" w:type="dxa"/>
            <w:vAlign w:val="center"/>
          </w:tcPr>
          <w:p w14:paraId="6413CEFF" w14:textId="0BB415AA" w:rsidR="000D594E" w:rsidRPr="00FD0BD2" w:rsidRDefault="000D594E" w:rsidP="005B213E">
            <w:pPr>
              <w:jc w:val="both"/>
              <w:rPr>
                <w:rFonts w:cstheme="minorHAnsi"/>
                <w:bCs/>
                <w:color w:val="404040" w:themeColor="text1" w:themeTint="BF"/>
                <w:spacing w:val="20"/>
              </w:rPr>
            </w:pPr>
          </w:p>
        </w:tc>
      </w:tr>
      <w:tr w:rsidR="000D594E" w:rsidRPr="001A5C81" w14:paraId="6A9A9378" w14:textId="77777777" w:rsidTr="000D594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8"/>
        </w:trPr>
        <w:tc>
          <w:tcPr>
            <w:tcW w:w="8100" w:type="dxa"/>
            <w:tcBorders>
              <w:top w:val="nil"/>
              <w:left w:val="nil"/>
              <w:bottom w:val="nil"/>
              <w:right w:val="nil"/>
            </w:tcBorders>
          </w:tcPr>
          <w:p w14:paraId="30B84C88" w14:textId="6CDD69B6" w:rsidR="000D594E" w:rsidRPr="00FD0BD2" w:rsidRDefault="000D594E" w:rsidP="002C7643">
            <w:pPr>
              <w:jc w:val="both"/>
              <w:rPr>
                <w:rFonts w:cstheme="minorHAnsi"/>
                <w:bCs/>
                <w:color w:val="404040" w:themeColor="text1" w:themeTint="BF"/>
                <w:spacing w:val="20"/>
              </w:rPr>
            </w:pPr>
            <w:r>
              <w:rPr>
                <w:rFonts w:cstheme="minorHAnsi"/>
                <w:bCs/>
                <w:color w:val="404040" w:themeColor="text1" w:themeTint="BF"/>
                <w:spacing w:val="20"/>
              </w:rPr>
              <w:t xml:space="preserve">Submittal Form A - Background, Declarations, and Certifications </w:t>
            </w:r>
          </w:p>
        </w:tc>
        <w:tc>
          <w:tcPr>
            <w:tcW w:w="1170" w:type="dxa"/>
            <w:tcBorders>
              <w:top w:val="nil"/>
              <w:left w:val="nil"/>
              <w:bottom w:val="nil"/>
              <w:right w:val="nil"/>
            </w:tcBorders>
          </w:tcPr>
          <w:p w14:paraId="295CDD17" w14:textId="4778308D" w:rsidR="000D594E" w:rsidRPr="00FD0BD2" w:rsidRDefault="00006FE2" w:rsidP="002C7643">
            <w:pPr>
              <w:jc w:val="both"/>
              <w:rPr>
                <w:rFonts w:cstheme="minorHAnsi"/>
                <w:bCs/>
                <w:color w:val="404040" w:themeColor="text1" w:themeTint="BF"/>
                <w:spacing w:val="20"/>
              </w:rPr>
            </w:pPr>
            <w:r>
              <w:rPr>
                <w:rFonts w:cstheme="minorHAnsi"/>
                <w:bCs/>
                <w:color w:val="404040" w:themeColor="text1" w:themeTint="BF"/>
                <w:spacing w:val="20"/>
              </w:rPr>
              <w:t>Page 51</w:t>
            </w:r>
          </w:p>
        </w:tc>
      </w:tr>
      <w:tr w:rsidR="000D594E" w:rsidRPr="001A5C81" w14:paraId="315BE108" w14:textId="77777777" w:rsidTr="000D594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8"/>
        </w:trPr>
        <w:tc>
          <w:tcPr>
            <w:tcW w:w="8100" w:type="dxa"/>
            <w:tcBorders>
              <w:top w:val="nil"/>
              <w:left w:val="nil"/>
              <w:bottom w:val="nil"/>
              <w:right w:val="nil"/>
            </w:tcBorders>
          </w:tcPr>
          <w:p w14:paraId="0B5417A6" w14:textId="59EA4291" w:rsidR="000D594E" w:rsidRPr="00FD0BD2" w:rsidRDefault="000D594E" w:rsidP="002C7643">
            <w:pPr>
              <w:jc w:val="both"/>
              <w:rPr>
                <w:rFonts w:cstheme="minorHAnsi"/>
                <w:bCs/>
                <w:color w:val="404040" w:themeColor="text1" w:themeTint="BF"/>
                <w:spacing w:val="20"/>
              </w:rPr>
            </w:pPr>
            <w:r>
              <w:rPr>
                <w:rFonts w:cstheme="minorHAnsi"/>
                <w:bCs/>
                <w:color w:val="404040" w:themeColor="text1" w:themeTint="BF"/>
                <w:spacing w:val="20"/>
              </w:rPr>
              <w:t>Submittal Form B - Technical Proposal</w:t>
            </w:r>
          </w:p>
        </w:tc>
        <w:tc>
          <w:tcPr>
            <w:tcW w:w="1170" w:type="dxa"/>
            <w:tcBorders>
              <w:top w:val="nil"/>
              <w:left w:val="nil"/>
              <w:bottom w:val="nil"/>
              <w:right w:val="nil"/>
            </w:tcBorders>
          </w:tcPr>
          <w:p w14:paraId="341C00EA" w14:textId="29A2600E" w:rsidR="000D594E" w:rsidRPr="00FD0BD2" w:rsidRDefault="00006FE2" w:rsidP="002C7643">
            <w:pPr>
              <w:jc w:val="both"/>
              <w:rPr>
                <w:rFonts w:cstheme="minorHAnsi"/>
                <w:bCs/>
                <w:color w:val="404040" w:themeColor="text1" w:themeTint="BF"/>
                <w:spacing w:val="20"/>
              </w:rPr>
            </w:pPr>
            <w:r>
              <w:rPr>
                <w:rFonts w:cstheme="minorHAnsi"/>
                <w:bCs/>
                <w:color w:val="404040" w:themeColor="text1" w:themeTint="BF"/>
                <w:spacing w:val="20"/>
              </w:rPr>
              <w:t>Page 54</w:t>
            </w:r>
          </w:p>
        </w:tc>
      </w:tr>
      <w:tr w:rsidR="000D594E" w:rsidRPr="001A5C81" w14:paraId="2A88377C" w14:textId="77777777" w:rsidTr="000D594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8"/>
        </w:trPr>
        <w:tc>
          <w:tcPr>
            <w:tcW w:w="8100" w:type="dxa"/>
            <w:tcBorders>
              <w:top w:val="nil"/>
              <w:left w:val="nil"/>
              <w:bottom w:val="nil"/>
              <w:right w:val="nil"/>
            </w:tcBorders>
          </w:tcPr>
          <w:p w14:paraId="5E28C819" w14:textId="4D614A2C" w:rsidR="000D594E" w:rsidRPr="00FD0BD2" w:rsidRDefault="000D594E" w:rsidP="002C7643">
            <w:pPr>
              <w:jc w:val="both"/>
              <w:rPr>
                <w:rFonts w:cstheme="minorHAnsi"/>
                <w:bCs/>
                <w:color w:val="404040" w:themeColor="text1" w:themeTint="BF"/>
                <w:spacing w:val="20"/>
              </w:rPr>
            </w:pPr>
            <w:r>
              <w:rPr>
                <w:rFonts w:cstheme="minorHAnsi"/>
                <w:bCs/>
                <w:color w:val="404040" w:themeColor="text1" w:themeTint="BF"/>
                <w:spacing w:val="20"/>
              </w:rPr>
              <w:t>Submittal Form C - Cost Proposal</w:t>
            </w:r>
          </w:p>
        </w:tc>
        <w:tc>
          <w:tcPr>
            <w:tcW w:w="1170" w:type="dxa"/>
            <w:tcBorders>
              <w:top w:val="nil"/>
              <w:left w:val="nil"/>
              <w:bottom w:val="nil"/>
              <w:right w:val="nil"/>
            </w:tcBorders>
          </w:tcPr>
          <w:p w14:paraId="5D914EC8" w14:textId="588BA3E8" w:rsidR="000D594E" w:rsidRPr="00FD0BD2" w:rsidRDefault="00006FE2" w:rsidP="002C7643">
            <w:pPr>
              <w:jc w:val="both"/>
              <w:rPr>
                <w:rFonts w:cstheme="minorHAnsi"/>
                <w:bCs/>
                <w:color w:val="404040" w:themeColor="text1" w:themeTint="BF"/>
                <w:spacing w:val="20"/>
              </w:rPr>
            </w:pPr>
            <w:r>
              <w:rPr>
                <w:rFonts w:cstheme="minorHAnsi"/>
                <w:bCs/>
                <w:color w:val="404040" w:themeColor="text1" w:themeTint="BF"/>
                <w:spacing w:val="20"/>
              </w:rPr>
              <w:t>Page 58</w:t>
            </w:r>
          </w:p>
        </w:tc>
      </w:tr>
    </w:tbl>
    <w:p w14:paraId="79801305" w14:textId="77777777" w:rsidR="00163AB1" w:rsidRPr="001A5C81" w:rsidRDefault="00163AB1" w:rsidP="005B213E">
      <w:pPr>
        <w:jc w:val="both"/>
        <w:rPr>
          <w:rFonts w:cstheme="minorHAnsi"/>
          <w:sz w:val="24"/>
        </w:rPr>
      </w:pPr>
    </w:p>
    <w:p w14:paraId="50AB433F" w14:textId="77777777" w:rsidR="000D594E" w:rsidRDefault="000D594E">
      <w:pPr>
        <w:rPr>
          <w:rFonts w:cstheme="minorHAnsi"/>
          <w:color w:val="0070C0"/>
          <w:spacing w:val="20"/>
          <w:sz w:val="48"/>
          <w:szCs w:val="44"/>
        </w:rPr>
      </w:pPr>
      <w:r>
        <w:rPr>
          <w:rFonts w:cstheme="minorHAnsi"/>
          <w:color w:val="0070C0"/>
          <w:spacing w:val="20"/>
          <w:sz w:val="48"/>
          <w:szCs w:val="44"/>
        </w:rPr>
        <w:br w:type="page"/>
      </w:r>
    </w:p>
    <w:p w14:paraId="123E19EF" w14:textId="0B4AD3C7" w:rsidR="00163AB1" w:rsidRPr="00B53155" w:rsidRDefault="00163AB1" w:rsidP="005B213E">
      <w:pPr>
        <w:jc w:val="both"/>
        <w:rPr>
          <w:rFonts w:cstheme="minorHAnsi"/>
          <w:color w:val="0070C0"/>
          <w:spacing w:val="20"/>
          <w:sz w:val="48"/>
          <w:szCs w:val="44"/>
        </w:rPr>
      </w:pPr>
      <w:r>
        <w:rPr>
          <w:rFonts w:cstheme="minorHAnsi"/>
          <w:color w:val="0070C0"/>
          <w:spacing w:val="20"/>
          <w:sz w:val="48"/>
          <w:szCs w:val="44"/>
        </w:rPr>
        <w:lastRenderedPageBreak/>
        <w:t xml:space="preserve">Section 1 </w:t>
      </w:r>
    </w:p>
    <w:p w14:paraId="3DFD8D0C" w14:textId="7375921B" w:rsidR="00163AB1" w:rsidRPr="00B53155" w:rsidRDefault="00163AB1" w:rsidP="00B53155">
      <w:pPr>
        <w:shd w:val="clear" w:color="auto" w:fill="0070C0"/>
        <w:jc w:val="both"/>
        <w:rPr>
          <w:rFonts w:cstheme="minorHAnsi"/>
          <w:color w:val="FFFFFF" w:themeColor="background1"/>
          <w:spacing w:val="20"/>
          <w:sz w:val="36"/>
          <w:szCs w:val="32"/>
        </w:rPr>
      </w:pPr>
      <w:r>
        <w:rPr>
          <w:rFonts w:cstheme="minorHAnsi"/>
          <w:color w:val="FFFFFF" w:themeColor="background1"/>
          <w:spacing w:val="20"/>
          <w:sz w:val="36"/>
          <w:szCs w:val="32"/>
        </w:rPr>
        <w:t xml:space="preserve">Administrative Information and Overview </w:t>
      </w:r>
    </w:p>
    <w:p w14:paraId="77BEED34" w14:textId="77777777" w:rsidR="00B01411" w:rsidRDefault="00B01411" w:rsidP="005B213E">
      <w:pPr>
        <w:jc w:val="both"/>
      </w:pPr>
    </w:p>
    <w:tbl>
      <w:tblPr>
        <w:tblStyle w:val="TableGrid"/>
        <w:tblW w:w="10710" w:type="dxa"/>
        <w:tblInd w:w="85" w:type="dxa"/>
        <w:tblLook w:val="04A0" w:firstRow="1" w:lastRow="0" w:firstColumn="1" w:lastColumn="0" w:noHBand="0" w:noVBand="1"/>
      </w:tblPr>
      <w:tblGrid>
        <w:gridCol w:w="4230"/>
        <w:gridCol w:w="6480"/>
      </w:tblGrid>
      <w:tr w:rsidR="00B53155" w14:paraId="4D5BFD21" w14:textId="77777777" w:rsidTr="008D6692">
        <w:tc>
          <w:tcPr>
            <w:tcW w:w="4230" w:type="dxa"/>
          </w:tcPr>
          <w:p w14:paraId="504DA269" w14:textId="47122F53" w:rsidR="00B53155" w:rsidRPr="006C7BEB" w:rsidRDefault="00B53155" w:rsidP="002C7643">
            <w:pPr>
              <w:pStyle w:val="ListParagraph"/>
              <w:numPr>
                <w:ilvl w:val="0"/>
                <w:numId w:val="2"/>
              </w:numPr>
              <w:jc w:val="both"/>
              <w:rPr>
                <w:b/>
                <w:bCs/>
                <w:spacing w:val="20"/>
                <w:sz w:val="24"/>
                <w:szCs w:val="24"/>
              </w:rPr>
            </w:pPr>
            <w:r>
              <w:rPr>
                <w:b/>
                <w:bCs/>
                <w:spacing w:val="20"/>
                <w:sz w:val="24"/>
                <w:szCs w:val="24"/>
              </w:rPr>
              <w:t xml:space="preserve">Purpose </w:t>
            </w:r>
          </w:p>
          <w:p w14:paraId="4D5C7C59" w14:textId="77777777" w:rsidR="00B53155" w:rsidRDefault="00B53155" w:rsidP="002C7643">
            <w:pPr>
              <w:jc w:val="both"/>
            </w:pPr>
          </w:p>
        </w:tc>
        <w:tc>
          <w:tcPr>
            <w:tcW w:w="6480" w:type="dxa"/>
          </w:tcPr>
          <w:p w14:paraId="701B32E1" w14:textId="2EF66C6E" w:rsidR="00B53155" w:rsidRDefault="00B53155" w:rsidP="002C7643">
            <w:pPr>
              <w:jc w:val="both"/>
            </w:pPr>
            <w:r>
              <w:t xml:space="preserve">The State of Idaho’s (“State”) Division of Purchasing (“DOP”), on behalf of Idaho Commission on Aging (“ICOA”) is issuing this Request For Proposal (“RFP”) to solicit Proposals from qualified and experienced firms (“Offerors”), that can operate the Senior Community Service Employment Program (SCSEP) in Idaho's Planning Service Area 3, providing part-time, work-based job training for low-income adults age 55 and over.  Background information is provided in </w:t>
            </w:r>
            <w:r>
              <w:rPr>
                <w:b/>
                <w:bCs/>
              </w:rPr>
              <w:t>Exhibit 2</w:t>
            </w:r>
            <w:r>
              <w:t xml:space="preserve">.  General Requirements are provided in </w:t>
            </w:r>
            <w:r>
              <w:rPr>
                <w:b/>
                <w:bCs/>
              </w:rPr>
              <w:t>Exhibit 3</w:t>
            </w:r>
            <w:r>
              <w:t xml:space="preserve">, and Scope of Work is provided in </w:t>
            </w:r>
            <w:r>
              <w:rPr>
                <w:b/>
                <w:bCs/>
              </w:rPr>
              <w:t>Exhibit 4</w:t>
            </w:r>
            <w:r>
              <w:t>.</w:t>
            </w:r>
          </w:p>
          <w:p w14:paraId="5E7BC5B1" w14:textId="77777777" w:rsidR="00B53155" w:rsidRDefault="00B53155" w:rsidP="002C7643">
            <w:pPr>
              <w:jc w:val="both"/>
            </w:pPr>
          </w:p>
        </w:tc>
      </w:tr>
      <w:tr w:rsidR="00B53155" w14:paraId="70511827" w14:textId="77777777" w:rsidTr="008D6692">
        <w:tc>
          <w:tcPr>
            <w:tcW w:w="4230" w:type="dxa"/>
          </w:tcPr>
          <w:p w14:paraId="72097B95" w14:textId="77777777" w:rsidR="00B53155" w:rsidRPr="006C7BEB" w:rsidRDefault="00B53155" w:rsidP="00B53155">
            <w:pPr>
              <w:pStyle w:val="ListParagraph"/>
              <w:numPr>
                <w:ilvl w:val="0"/>
                <w:numId w:val="2"/>
              </w:numPr>
              <w:jc w:val="both"/>
              <w:rPr>
                <w:b/>
                <w:bCs/>
                <w:spacing w:val="20"/>
                <w:sz w:val="24"/>
                <w:szCs w:val="24"/>
              </w:rPr>
            </w:pPr>
            <w:r>
              <w:rPr>
                <w:b/>
                <w:bCs/>
                <w:spacing w:val="20"/>
                <w:sz w:val="24"/>
                <w:szCs w:val="24"/>
              </w:rPr>
              <w:t xml:space="preserve">Procurement Schedule </w:t>
            </w:r>
          </w:p>
          <w:p w14:paraId="4688FCA8" w14:textId="77777777" w:rsidR="00B53155" w:rsidRDefault="00B53155" w:rsidP="005B213E">
            <w:pPr>
              <w:jc w:val="both"/>
            </w:pPr>
          </w:p>
          <w:p w14:paraId="1E12DCA2" w14:textId="4A27C3C2" w:rsidR="00B53155" w:rsidRPr="00D82718" w:rsidRDefault="00B53155" w:rsidP="005B213E">
            <w:pPr>
              <w:jc w:val="both"/>
              <w:rPr>
                <w:sz w:val="20"/>
                <w:szCs w:val="20"/>
              </w:rPr>
            </w:pPr>
          </w:p>
          <w:p w14:paraId="3738BD38" w14:textId="7B913271" w:rsidR="00B53155" w:rsidRDefault="00B53155" w:rsidP="00B53155">
            <w:pPr>
              <w:jc w:val="right"/>
            </w:pPr>
            <w:r>
              <w:t xml:space="preserve">Pre-Proposal Meeting: </w:t>
            </w:r>
          </w:p>
          <w:p w14:paraId="16BFD8B9" w14:textId="5E116D6C" w:rsidR="00B53155" w:rsidRDefault="00B53155" w:rsidP="00B53155">
            <w:pPr>
              <w:jc w:val="right"/>
            </w:pPr>
            <w:r>
              <w:t>Deadline to submit questions:</w:t>
            </w:r>
          </w:p>
          <w:p w14:paraId="58EA00B4" w14:textId="77777777" w:rsidR="00B53155" w:rsidRPr="00B53155" w:rsidRDefault="00B53155" w:rsidP="00B53155">
            <w:pPr>
              <w:jc w:val="right"/>
              <w:rPr>
                <w:b/>
                <w:bCs/>
              </w:rPr>
            </w:pPr>
            <w:r>
              <w:rPr>
                <w:b/>
                <w:bCs/>
              </w:rPr>
              <w:t>Closing Date (deadline to submit Proposal):</w:t>
            </w:r>
          </w:p>
          <w:p w14:paraId="2429EEE1" w14:textId="77777777" w:rsidR="00B53155" w:rsidRDefault="00B53155" w:rsidP="00B53155">
            <w:pPr>
              <w:jc w:val="right"/>
            </w:pPr>
            <w:r>
              <w:t>Public Opening Date:</w:t>
            </w:r>
          </w:p>
          <w:p w14:paraId="09A8FDBE" w14:textId="7043BE68" w:rsidR="00EA4AD7" w:rsidRDefault="0077085F" w:rsidP="00B53155">
            <w:pPr>
              <w:jc w:val="right"/>
            </w:pPr>
            <w:r>
              <w:t>Proposal Opening Link:</w:t>
            </w:r>
          </w:p>
          <w:p w14:paraId="73412075" w14:textId="146FB5B3" w:rsidR="00B53155" w:rsidRDefault="00B53155" w:rsidP="00390E58">
            <w:pPr>
              <w:jc w:val="right"/>
            </w:pPr>
          </w:p>
        </w:tc>
        <w:tc>
          <w:tcPr>
            <w:tcW w:w="6480" w:type="dxa"/>
          </w:tcPr>
          <w:p w14:paraId="25CC7AF1" w14:textId="02BFC612" w:rsidR="00B53155" w:rsidRDefault="00B53155" w:rsidP="00B53155">
            <w:pPr>
              <w:jc w:val="both"/>
            </w:pPr>
            <w:r>
              <w:t xml:space="preserve">The State will make every effort to adhere to the schedule below, but reserves the right, at its sole discretion, to adjust the schedule.  </w:t>
            </w:r>
          </w:p>
          <w:p w14:paraId="7637DE1C" w14:textId="77777777" w:rsidR="00B53155" w:rsidRDefault="00B53155" w:rsidP="005B213E">
            <w:pPr>
              <w:jc w:val="both"/>
            </w:pPr>
          </w:p>
          <w:p w14:paraId="14B9CE90" w14:textId="6271736B" w:rsidR="00B53155" w:rsidRPr="00DB43C9" w:rsidRDefault="00B05834" w:rsidP="00B53155">
            <w:pPr>
              <w:jc w:val="both"/>
            </w:pPr>
            <w:r>
              <w:t>06/</w:t>
            </w:r>
            <w:r w:rsidR="00A1799B">
              <w:t>24</w:t>
            </w:r>
            <w:r>
              <w:t xml:space="preserve">/2026 @ 1:00 </w:t>
            </w:r>
            <w:r w:rsidR="00704427">
              <w:t>p</w:t>
            </w:r>
            <w:r>
              <w:t>m MT</w:t>
            </w:r>
          </w:p>
          <w:p w14:paraId="373639AA" w14:textId="503CB972" w:rsidR="00B53155" w:rsidRPr="00DB43C9" w:rsidRDefault="00B05834" w:rsidP="00B53155">
            <w:pPr>
              <w:jc w:val="both"/>
            </w:pPr>
            <w:r>
              <w:t>07/0</w:t>
            </w:r>
            <w:r w:rsidR="00A1799B">
              <w:t>1</w:t>
            </w:r>
            <w:r>
              <w:t>/2026 @ 11:59 pm MT</w:t>
            </w:r>
          </w:p>
          <w:p w14:paraId="364EEFF2" w14:textId="7DFD0EAE" w:rsidR="00B53155" w:rsidRPr="00DB43C9" w:rsidRDefault="00390E58" w:rsidP="00B53155">
            <w:pPr>
              <w:jc w:val="both"/>
              <w:rPr>
                <w:b/>
                <w:bCs/>
              </w:rPr>
            </w:pPr>
            <w:r>
              <w:rPr>
                <w:b/>
                <w:bCs/>
              </w:rPr>
              <w:t>See IPRO Event Main Page for current closing date and time.</w:t>
            </w:r>
          </w:p>
          <w:p w14:paraId="0D57F1CE" w14:textId="69EE6EAD" w:rsidR="00B53155" w:rsidRPr="00DB43C9" w:rsidRDefault="00B05834" w:rsidP="00B53155">
            <w:pPr>
              <w:jc w:val="both"/>
            </w:pPr>
            <w:r>
              <w:t>07/</w:t>
            </w:r>
            <w:r w:rsidR="00D915A2">
              <w:t>15</w:t>
            </w:r>
            <w:r>
              <w:t xml:space="preserve">/2026 @ 10:30 am MT </w:t>
            </w:r>
          </w:p>
          <w:p w14:paraId="7F6D260A" w14:textId="48BBFF6B" w:rsidR="00EA4AD7" w:rsidRPr="00B05834" w:rsidRDefault="00B05834" w:rsidP="00EA4AD7">
            <w:pPr>
              <w:jc w:val="both"/>
              <w:rPr>
                <w:b/>
                <w:bCs/>
                <w:u w:val="single"/>
              </w:rPr>
            </w:pPr>
            <w:hyperlink r:id="rId9" w:history="1">
              <w:r>
                <w:rPr>
                  <w:rStyle w:val="Hyperlink"/>
                  <w:b/>
                  <w:bCs/>
                </w:rPr>
                <w:t>Join the meeting now</w:t>
              </w:r>
            </w:hyperlink>
          </w:p>
          <w:p w14:paraId="24872988" w14:textId="22D60FB2" w:rsidR="00B53155" w:rsidRDefault="00B53155" w:rsidP="00B53155">
            <w:pPr>
              <w:jc w:val="both"/>
            </w:pPr>
          </w:p>
        </w:tc>
      </w:tr>
      <w:tr w:rsidR="00B53155" w14:paraId="3A4F5218" w14:textId="77777777" w:rsidTr="008D6692">
        <w:tc>
          <w:tcPr>
            <w:tcW w:w="4230" w:type="dxa"/>
          </w:tcPr>
          <w:p w14:paraId="0C3450B0" w14:textId="77777777" w:rsidR="00B53155" w:rsidRPr="006C7BEB" w:rsidRDefault="00B53155" w:rsidP="00B53155">
            <w:pPr>
              <w:pStyle w:val="ListParagraph"/>
              <w:numPr>
                <w:ilvl w:val="0"/>
                <w:numId w:val="2"/>
              </w:numPr>
              <w:jc w:val="both"/>
              <w:rPr>
                <w:b/>
                <w:bCs/>
                <w:spacing w:val="20"/>
                <w:sz w:val="24"/>
                <w:szCs w:val="24"/>
              </w:rPr>
            </w:pPr>
            <w:r>
              <w:rPr>
                <w:b/>
                <w:bCs/>
                <w:spacing w:val="20"/>
                <w:sz w:val="24"/>
                <w:szCs w:val="24"/>
              </w:rPr>
              <w:t xml:space="preserve">RFP Lead </w:t>
            </w:r>
          </w:p>
          <w:p w14:paraId="2DBA3269" w14:textId="77777777" w:rsidR="00B53155" w:rsidRDefault="00B53155" w:rsidP="00B53155">
            <w:pPr>
              <w:jc w:val="both"/>
            </w:pPr>
          </w:p>
          <w:p w14:paraId="5CBA3024" w14:textId="77777777" w:rsidR="00554A00" w:rsidRDefault="00554A00" w:rsidP="00B53155">
            <w:pPr>
              <w:jc w:val="both"/>
            </w:pPr>
          </w:p>
          <w:p w14:paraId="3E97E603" w14:textId="77777777" w:rsidR="00554A00" w:rsidRDefault="00554A00" w:rsidP="00B53155">
            <w:pPr>
              <w:jc w:val="both"/>
            </w:pPr>
          </w:p>
          <w:p w14:paraId="4A2B477B" w14:textId="77777777" w:rsidR="00554A00" w:rsidRDefault="00554A00" w:rsidP="00B53155">
            <w:pPr>
              <w:jc w:val="both"/>
            </w:pPr>
          </w:p>
          <w:p w14:paraId="304CECD7" w14:textId="77777777" w:rsidR="00554A00" w:rsidRPr="00DB43C9" w:rsidRDefault="00554A00" w:rsidP="00554A00">
            <w:pPr>
              <w:rPr>
                <w:sz w:val="20"/>
                <w:szCs w:val="20"/>
              </w:rPr>
            </w:pPr>
          </w:p>
          <w:p w14:paraId="51B8D41F" w14:textId="639966AB" w:rsidR="00554A00" w:rsidRDefault="00554A00" w:rsidP="00554A00">
            <w:pPr>
              <w:jc w:val="right"/>
            </w:pPr>
            <w:r>
              <w:t>Name:</w:t>
            </w:r>
          </w:p>
          <w:p w14:paraId="3AAE77B6" w14:textId="0F04A303" w:rsidR="00554A00" w:rsidRDefault="00554A00" w:rsidP="00554A00">
            <w:pPr>
              <w:jc w:val="right"/>
            </w:pPr>
            <w:r>
              <w:t>Title &amp; Agency:</w:t>
            </w:r>
          </w:p>
          <w:p w14:paraId="3CDBAD10" w14:textId="3FEE6B5A" w:rsidR="00554A00" w:rsidRDefault="00554A00" w:rsidP="00554A00">
            <w:pPr>
              <w:jc w:val="right"/>
            </w:pPr>
            <w:r>
              <w:t>Email:</w:t>
            </w:r>
          </w:p>
        </w:tc>
        <w:tc>
          <w:tcPr>
            <w:tcW w:w="6480" w:type="dxa"/>
          </w:tcPr>
          <w:p w14:paraId="477BD623" w14:textId="77777777" w:rsidR="00B53155" w:rsidRDefault="00B53155" w:rsidP="00B53155">
            <w:pPr>
              <w:jc w:val="both"/>
            </w:pPr>
            <w:r>
              <w:t xml:space="preserve">The individual listed below (referred to as “RFP Lead”) is responsible for the conduct of this procurement.  From the issue date of this RFP, until a contract is awarded, or the RFP is cancelled, Offerors are prohibited from communicating with any State employee, Official, or Evaluators regarding this RFP or procurement.  </w:t>
            </w:r>
          </w:p>
          <w:p w14:paraId="23D4115E" w14:textId="77777777" w:rsidR="00554A00" w:rsidRDefault="00554A00" w:rsidP="00B53155">
            <w:pPr>
              <w:jc w:val="both"/>
            </w:pPr>
          </w:p>
          <w:p w14:paraId="7C1F866B" w14:textId="36406801" w:rsidR="00B53155" w:rsidRPr="00DB43C9" w:rsidRDefault="000C5A1F" w:rsidP="00B53155">
            <w:pPr>
              <w:jc w:val="both"/>
            </w:pPr>
            <w:r>
              <w:t>Erik Schmidt</w:t>
            </w:r>
          </w:p>
          <w:p w14:paraId="32D2EA11" w14:textId="62A0EDC7" w:rsidR="00554A00" w:rsidRPr="00DB43C9" w:rsidRDefault="000C5A1F" w:rsidP="00554A00">
            <w:pPr>
              <w:jc w:val="both"/>
            </w:pPr>
            <w:r>
              <w:t>Buyer, Division of Purchasing</w:t>
            </w:r>
          </w:p>
          <w:p w14:paraId="606A677D" w14:textId="241264D5" w:rsidR="00554A00" w:rsidRDefault="000C5A1F" w:rsidP="00554A00">
            <w:pPr>
              <w:jc w:val="both"/>
            </w:pPr>
            <w:hyperlink r:id="rId10" w:history="1">
              <w:r>
                <w:rPr>
                  <w:rStyle w:val="Hyperlink"/>
                </w:rPr>
                <w:t>Erik.Schmidt@adm.idaho.gov</w:t>
              </w:r>
            </w:hyperlink>
            <w:r>
              <w:t xml:space="preserve"> </w:t>
            </w:r>
          </w:p>
          <w:p w14:paraId="528B0518" w14:textId="77777777" w:rsidR="00554A00" w:rsidRDefault="00554A00" w:rsidP="00B53155">
            <w:pPr>
              <w:jc w:val="both"/>
            </w:pPr>
          </w:p>
        </w:tc>
      </w:tr>
      <w:tr w:rsidR="00B53155" w14:paraId="492C13CB" w14:textId="77777777" w:rsidTr="008D6692">
        <w:tc>
          <w:tcPr>
            <w:tcW w:w="4230" w:type="dxa"/>
          </w:tcPr>
          <w:p w14:paraId="47C0D568" w14:textId="77777777" w:rsidR="00554A00" w:rsidRPr="006C7BEB" w:rsidRDefault="00554A00" w:rsidP="00554A00">
            <w:pPr>
              <w:pStyle w:val="ListParagraph"/>
              <w:numPr>
                <w:ilvl w:val="0"/>
                <w:numId w:val="2"/>
              </w:numPr>
              <w:jc w:val="both"/>
              <w:rPr>
                <w:b/>
                <w:bCs/>
                <w:spacing w:val="20"/>
                <w:sz w:val="24"/>
                <w:szCs w:val="24"/>
              </w:rPr>
            </w:pPr>
            <w:r>
              <w:rPr>
                <w:b/>
                <w:bCs/>
                <w:spacing w:val="20"/>
                <w:sz w:val="24"/>
                <w:szCs w:val="24"/>
              </w:rPr>
              <w:t>Pre-Proposal Conference</w:t>
            </w:r>
          </w:p>
          <w:p w14:paraId="3CB96630" w14:textId="77777777" w:rsidR="00B53155" w:rsidRDefault="00B53155" w:rsidP="00B53155">
            <w:pPr>
              <w:jc w:val="both"/>
            </w:pPr>
          </w:p>
          <w:p w14:paraId="11E395D9" w14:textId="77777777" w:rsidR="00554A00" w:rsidRDefault="00554A00" w:rsidP="00B53155">
            <w:pPr>
              <w:jc w:val="both"/>
            </w:pPr>
          </w:p>
          <w:p w14:paraId="6F10A024" w14:textId="77777777" w:rsidR="00554A00" w:rsidRDefault="00554A00" w:rsidP="00B53155">
            <w:pPr>
              <w:jc w:val="both"/>
            </w:pPr>
          </w:p>
          <w:p w14:paraId="0448800C" w14:textId="77777777" w:rsidR="00554A00" w:rsidRDefault="00554A00" w:rsidP="00B53155">
            <w:pPr>
              <w:jc w:val="both"/>
            </w:pPr>
          </w:p>
          <w:p w14:paraId="7A1F01C1" w14:textId="77777777" w:rsidR="00554A00" w:rsidRDefault="00554A00" w:rsidP="00B53155">
            <w:pPr>
              <w:jc w:val="both"/>
            </w:pPr>
          </w:p>
          <w:p w14:paraId="382871E6" w14:textId="77777777" w:rsidR="00554A00" w:rsidRPr="00D82718" w:rsidRDefault="00554A00" w:rsidP="00B53155">
            <w:pPr>
              <w:jc w:val="both"/>
              <w:rPr>
                <w:sz w:val="20"/>
                <w:szCs w:val="20"/>
              </w:rPr>
            </w:pPr>
          </w:p>
          <w:p w14:paraId="67D37AE2" w14:textId="29B726D4" w:rsidR="00554A00" w:rsidRDefault="00554A00" w:rsidP="00390E58">
            <w:pPr>
              <w:jc w:val="right"/>
            </w:pPr>
            <w:r>
              <w:t xml:space="preserve"> Link:</w:t>
            </w:r>
          </w:p>
          <w:p w14:paraId="3663A904" w14:textId="28F4360C" w:rsidR="00554A00" w:rsidRDefault="00554A00" w:rsidP="00554A00">
            <w:pPr>
              <w:jc w:val="right"/>
            </w:pPr>
          </w:p>
        </w:tc>
        <w:tc>
          <w:tcPr>
            <w:tcW w:w="6480" w:type="dxa"/>
          </w:tcPr>
          <w:p w14:paraId="30C92C49" w14:textId="4F66FB74" w:rsidR="00B53155" w:rsidRDefault="00554A00" w:rsidP="00B53155">
            <w:pPr>
              <w:jc w:val="both"/>
            </w:pPr>
            <w:r>
              <w:t xml:space="preserve">A non-mandatory pre-proposal conference will be held to provide an overview of the RFP process, the scope of work, and submission requirements. While attendance is highly encouraged, it is not mandatory. The meeting will be conducted virtually, with the access link provided below. To inform the State of your planned interest and attendance, please complete and submit </w:t>
            </w:r>
            <w:r>
              <w:rPr>
                <w:b/>
                <w:bCs/>
              </w:rPr>
              <w:t>Exhibit 9</w:t>
            </w:r>
            <w:r>
              <w:t>.</w:t>
            </w:r>
          </w:p>
          <w:p w14:paraId="49A6149A" w14:textId="77777777" w:rsidR="00554A00" w:rsidRDefault="00554A00" w:rsidP="00B53155">
            <w:pPr>
              <w:jc w:val="both"/>
            </w:pPr>
          </w:p>
          <w:p w14:paraId="74582C89" w14:textId="119F30B0" w:rsidR="00A63716" w:rsidRPr="00B05834" w:rsidRDefault="00B05834" w:rsidP="00554A00">
            <w:pPr>
              <w:jc w:val="both"/>
              <w:rPr>
                <w:b/>
                <w:bCs/>
                <w:u w:val="single"/>
              </w:rPr>
            </w:pPr>
            <w:hyperlink r:id="rId11" w:history="1">
              <w:r>
                <w:rPr>
                  <w:rStyle w:val="Hyperlink"/>
                  <w:b/>
                  <w:bCs/>
                </w:rPr>
                <w:t>Join the meeting now</w:t>
              </w:r>
            </w:hyperlink>
          </w:p>
          <w:p w14:paraId="2857BE4B" w14:textId="3CC96B81" w:rsidR="00554A00" w:rsidRDefault="00554A00" w:rsidP="00554A00">
            <w:pPr>
              <w:jc w:val="both"/>
            </w:pPr>
          </w:p>
        </w:tc>
      </w:tr>
      <w:tr w:rsidR="00554A00" w14:paraId="35CD50D1" w14:textId="77777777" w:rsidTr="008D6692">
        <w:tc>
          <w:tcPr>
            <w:tcW w:w="4230" w:type="dxa"/>
          </w:tcPr>
          <w:p w14:paraId="1C279CFF" w14:textId="77777777" w:rsidR="00554A00" w:rsidRPr="006C7BEB" w:rsidRDefault="00554A00" w:rsidP="00554A00">
            <w:pPr>
              <w:pStyle w:val="ListParagraph"/>
              <w:numPr>
                <w:ilvl w:val="0"/>
                <w:numId w:val="2"/>
              </w:numPr>
              <w:jc w:val="both"/>
              <w:rPr>
                <w:b/>
                <w:bCs/>
                <w:spacing w:val="20"/>
                <w:sz w:val="24"/>
                <w:szCs w:val="24"/>
              </w:rPr>
            </w:pPr>
            <w:r>
              <w:rPr>
                <w:b/>
                <w:bCs/>
                <w:spacing w:val="20"/>
                <w:sz w:val="24"/>
                <w:szCs w:val="24"/>
              </w:rPr>
              <w:t xml:space="preserve">IPRO eProcurement System </w:t>
            </w:r>
          </w:p>
          <w:p w14:paraId="55752193" w14:textId="09BF0CAF" w:rsidR="00554A00" w:rsidRDefault="00554A00" w:rsidP="002C7643">
            <w:pPr>
              <w:jc w:val="right"/>
            </w:pPr>
          </w:p>
        </w:tc>
        <w:tc>
          <w:tcPr>
            <w:tcW w:w="6480" w:type="dxa"/>
          </w:tcPr>
          <w:p w14:paraId="1C781DC4" w14:textId="77777777" w:rsidR="00554A00" w:rsidRDefault="00554A00" w:rsidP="00554A00">
            <w:pPr>
              <w:jc w:val="both"/>
            </w:pPr>
            <w:r>
              <w:t xml:space="preserve">This Solicitation is issued by the State via the State’s eProcurement system, IPRO.  It is the Offeror’s responsibility to monitor IPRO for any updates or amendments.  </w:t>
            </w:r>
          </w:p>
          <w:p w14:paraId="0CE1D684" w14:textId="77777777" w:rsidR="00B42928" w:rsidRDefault="00B42928" w:rsidP="00554A00">
            <w:pPr>
              <w:jc w:val="both"/>
            </w:pPr>
          </w:p>
          <w:p w14:paraId="5C8C6268" w14:textId="77777777" w:rsidR="00B42928" w:rsidRDefault="00B42928" w:rsidP="00B42928">
            <w:pPr>
              <w:jc w:val="both"/>
            </w:pPr>
            <w:r>
              <w:t xml:space="preserve">Link: </w:t>
            </w:r>
            <w:hyperlink r:id="rId12" w:history="1">
              <w:r>
                <w:rPr>
                  <w:rStyle w:val="Hyperlink"/>
                </w:rPr>
                <w:t>IPRO POWERED BY LUMA</w:t>
              </w:r>
            </w:hyperlink>
          </w:p>
          <w:p w14:paraId="40451898" w14:textId="20A23459" w:rsidR="00554A00" w:rsidRDefault="00554A00" w:rsidP="002C7643">
            <w:pPr>
              <w:jc w:val="both"/>
            </w:pPr>
          </w:p>
        </w:tc>
      </w:tr>
      <w:tr w:rsidR="000126C4" w14:paraId="564E48B8" w14:textId="77777777" w:rsidTr="008D6692">
        <w:tc>
          <w:tcPr>
            <w:tcW w:w="4230" w:type="dxa"/>
          </w:tcPr>
          <w:p w14:paraId="174E0B6A" w14:textId="52C22E58" w:rsidR="000126C4" w:rsidRPr="006C7BEB" w:rsidRDefault="000126C4" w:rsidP="000126C4">
            <w:pPr>
              <w:pStyle w:val="ListParagraph"/>
              <w:numPr>
                <w:ilvl w:val="0"/>
                <w:numId w:val="2"/>
              </w:numPr>
              <w:jc w:val="both"/>
              <w:rPr>
                <w:b/>
                <w:bCs/>
                <w:spacing w:val="20"/>
                <w:sz w:val="24"/>
                <w:szCs w:val="24"/>
              </w:rPr>
            </w:pPr>
            <w:r>
              <w:rPr>
                <w:b/>
                <w:bCs/>
                <w:spacing w:val="20"/>
                <w:sz w:val="24"/>
                <w:szCs w:val="24"/>
              </w:rPr>
              <w:t>Initial Term and Contract Renewal</w:t>
            </w:r>
          </w:p>
        </w:tc>
        <w:tc>
          <w:tcPr>
            <w:tcW w:w="6480" w:type="dxa"/>
          </w:tcPr>
          <w:p w14:paraId="2818B115" w14:textId="7A282987" w:rsidR="000126C4" w:rsidRDefault="000126C4" w:rsidP="00390E58">
            <w:pPr>
              <w:jc w:val="both"/>
            </w:pPr>
            <w:r>
              <w:t>The term of this Contract will be for one (1) year.  Upon mutual, written agreement, the Contract may be renewed, extended or amended.  The anticipated total Contract term is five (5) years.</w:t>
            </w:r>
          </w:p>
        </w:tc>
      </w:tr>
    </w:tbl>
    <w:p w14:paraId="0223EEDA" w14:textId="77777777" w:rsidR="00EA4AD7" w:rsidRDefault="00EA4AD7" w:rsidP="00390E58">
      <w:pPr>
        <w:ind w:left="720"/>
        <w:jc w:val="both"/>
        <w:rPr>
          <w:b/>
          <w:bCs/>
          <w:color w:val="EE0000"/>
        </w:rPr>
      </w:pPr>
    </w:p>
    <w:p w14:paraId="370C9035" w14:textId="28DB5A4C" w:rsidR="00120185" w:rsidRPr="00390E58" w:rsidRDefault="00390E58" w:rsidP="00390E58">
      <w:pPr>
        <w:ind w:left="720"/>
        <w:jc w:val="both"/>
        <w:rPr>
          <w:b/>
          <w:bCs/>
          <w:color w:val="EE0000"/>
        </w:rPr>
      </w:pPr>
      <w:r>
        <w:rPr>
          <w:b/>
          <w:bCs/>
          <w:color w:val="EE0000"/>
        </w:rPr>
        <w:lastRenderedPageBreak/>
        <w:t>THE</w:t>
      </w:r>
      <w:r>
        <w:rPr>
          <w:color w:val="EE0000"/>
        </w:rPr>
        <w:t xml:space="preserve"> </w:t>
      </w:r>
      <w:r>
        <w:rPr>
          <w:b/>
          <w:bCs/>
          <w:color w:val="EE0000"/>
        </w:rPr>
        <w:t>ADMINISTRATIVE FEE DETAILED IN ARTICLE 5 OF THE STATE’S STANDARD CONTRACT TERMS AND CONDITIONS WILL NOT APPLY TO THE CONTRACT(S) THAT RESULT FROM THIS SOLICITATION.</w:t>
      </w:r>
    </w:p>
    <w:p w14:paraId="3260B936" w14:textId="77777777" w:rsidR="00390E58" w:rsidRDefault="00390E58" w:rsidP="000126C4">
      <w:pPr>
        <w:jc w:val="both"/>
      </w:pPr>
    </w:p>
    <w:p w14:paraId="3556EFCE" w14:textId="77777777" w:rsidR="00EA4AD7" w:rsidRPr="001176DA" w:rsidRDefault="00EA4AD7" w:rsidP="00EA4AD7">
      <w:pPr>
        <w:pStyle w:val="ListParagraph"/>
        <w:numPr>
          <w:ilvl w:val="0"/>
          <w:numId w:val="2"/>
        </w:numPr>
        <w:jc w:val="both"/>
        <w:rPr>
          <w:b/>
          <w:bCs/>
          <w:spacing w:val="20"/>
          <w:sz w:val="24"/>
          <w:szCs w:val="24"/>
        </w:rPr>
      </w:pPr>
      <w:r>
        <w:rPr>
          <w:b/>
          <w:bCs/>
          <w:spacing w:val="20"/>
          <w:sz w:val="24"/>
          <w:szCs w:val="24"/>
        </w:rPr>
        <w:t xml:space="preserve">Questions </w:t>
      </w:r>
    </w:p>
    <w:p w14:paraId="633A78F1" w14:textId="7C7E5735" w:rsidR="00EA4AD7" w:rsidRDefault="00EA4AD7" w:rsidP="00EA4AD7">
      <w:pPr>
        <w:ind w:left="720"/>
        <w:jc w:val="both"/>
      </w:pPr>
      <w:r>
        <w:t xml:space="preserve">The Offeror must review this entire RFP solicitation, including associated documents.  All questions, requests for clarification, or other correspondence must be submitted in writing via email to the RFP Lead. See </w:t>
      </w:r>
      <w:r>
        <w:rPr>
          <w:b/>
          <w:bCs/>
        </w:rPr>
        <w:t>Exhibit 10</w:t>
      </w:r>
      <w:r>
        <w:t xml:space="preserve"> for additional instructions.  Questions must be submitted using the table provided within </w:t>
      </w:r>
      <w:r>
        <w:rPr>
          <w:b/>
          <w:bCs/>
        </w:rPr>
        <w:t>Exhibit 10</w:t>
      </w:r>
      <w:r>
        <w:t xml:space="preserve">.   </w:t>
      </w:r>
    </w:p>
    <w:p w14:paraId="553E9DDA" w14:textId="77777777" w:rsidR="00EA4AD7" w:rsidRDefault="00EA4AD7" w:rsidP="00EA4AD7">
      <w:pPr>
        <w:ind w:left="720"/>
        <w:jc w:val="both"/>
      </w:pPr>
    </w:p>
    <w:p w14:paraId="5E3A880A" w14:textId="77777777" w:rsidR="00EA4AD7" w:rsidRPr="0099278E" w:rsidRDefault="00EA4AD7" w:rsidP="00EA4AD7">
      <w:pPr>
        <w:pStyle w:val="ListParagraph"/>
        <w:numPr>
          <w:ilvl w:val="0"/>
          <w:numId w:val="2"/>
        </w:numPr>
        <w:jc w:val="both"/>
        <w:rPr>
          <w:b/>
          <w:bCs/>
          <w:spacing w:val="20"/>
          <w:sz w:val="24"/>
          <w:szCs w:val="24"/>
        </w:rPr>
      </w:pPr>
      <w:r>
        <w:rPr>
          <w:b/>
          <w:bCs/>
          <w:spacing w:val="20"/>
          <w:sz w:val="24"/>
          <w:szCs w:val="24"/>
        </w:rPr>
        <w:t>Modifications and Exceptions to Requirements, Terms, and Conditions</w:t>
      </w:r>
    </w:p>
    <w:p w14:paraId="0681CB4B" w14:textId="77777777" w:rsidR="00EA4AD7" w:rsidRDefault="00EA4AD7" w:rsidP="00EA4AD7">
      <w:pPr>
        <w:pStyle w:val="ListParagraph"/>
        <w:jc w:val="both"/>
      </w:pPr>
    </w:p>
    <w:p w14:paraId="3C609FB0" w14:textId="77777777" w:rsidR="00EA4AD7" w:rsidRPr="001C5072" w:rsidRDefault="00EA4AD7" w:rsidP="00007DE4">
      <w:pPr>
        <w:pStyle w:val="ListParagraph"/>
        <w:numPr>
          <w:ilvl w:val="0"/>
          <w:numId w:val="24"/>
        </w:numPr>
        <w:jc w:val="both"/>
        <w:rPr>
          <w:vanish/>
        </w:rPr>
      </w:pPr>
    </w:p>
    <w:p w14:paraId="61DAF98E" w14:textId="77777777" w:rsidR="00EA4AD7" w:rsidRPr="001C5072" w:rsidRDefault="00EA4AD7" w:rsidP="00007DE4">
      <w:pPr>
        <w:pStyle w:val="ListParagraph"/>
        <w:numPr>
          <w:ilvl w:val="1"/>
          <w:numId w:val="24"/>
        </w:numPr>
        <w:jc w:val="both"/>
        <w:rPr>
          <w:vanish/>
        </w:rPr>
      </w:pPr>
    </w:p>
    <w:p w14:paraId="28A49587" w14:textId="77777777" w:rsidR="00EA4AD7" w:rsidRPr="001C5072" w:rsidRDefault="00EA4AD7" w:rsidP="00007DE4">
      <w:pPr>
        <w:pStyle w:val="ListParagraph"/>
        <w:numPr>
          <w:ilvl w:val="1"/>
          <w:numId w:val="24"/>
        </w:numPr>
        <w:jc w:val="both"/>
        <w:rPr>
          <w:vanish/>
        </w:rPr>
      </w:pPr>
    </w:p>
    <w:p w14:paraId="4D0926D2" w14:textId="77777777" w:rsidR="00EA4AD7" w:rsidRPr="001C5072" w:rsidRDefault="00EA4AD7" w:rsidP="00007DE4">
      <w:pPr>
        <w:pStyle w:val="ListParagraph"/>
        <w:numPr>
          <w:ilvl w:val="1"/>
          <w:numId w:val="24"/>
        </w:numPr>
        <w:jc w:val="both"/>
        <w:rPr>
          <w:vanish/>
        </w:rPr>
      </w:pPr>
    </w:p>
    <w:p w14:paraId="73232AC4" w14:textId="77777777" w:rsidR="00EA4AD7" w:rsidRPr="001C5072" w:rsidRDefault="00EA4AD7" w:rsidP="00007DE4">
      <w:pPr>
        <w:pStyle w:val="ListParagraph"/>
        <w:numPr>
          <w:ilvl w:val="1"/>
          <w:numId w:val="24"/>
        </w:numPr>
        <w:jc w:val="both"/>
        <w:rPr>
          <w:vanish/>
        </w:rPr>
      </w:pPr>
    </w:p>
    <w:p w14:paraId="272C914C" w14:textId="77777777" w:rsidR="00EA4AD7" w:rsidRPr="001C5072" w:rsidRDefault="00EA4AD7" w:rsidP="00007DE4">
      <w:pPr>
        <w:pStyle w:val="ListParagraph"/>
        <w:numPr>
          <w:ilvl w:val="1"/>
          <w:numId w:val="24"/>
        </w:numPr>
        <w:jc w:val="both"/>
        <w:rPr>
          <w:vanish/>
        </w:rPr>
      </w:pPr>
    </w:p>
    <w:p w14:paraId="73CEE041" w14:textId="77777777" w:rsidR="00EA4AD7" w:rsidRPr="001C5072" w:rsidRDefault="00EA4AD7" w:rsidP="00007DE4">
      <w:pPr>
        <w:pStyle w:val="ListParagraph"/>
        <w:numPr>
          <w:ilvl w:val="1"/>
          <w:numId w:val="24"/>
        </w:numPr>
        <w:jc w:val="both"/>
        <w:rPr>
          <w:vanish/>
        </w:rPr>
      </w:pPr>
    </w:p>
    <w:p w14:paraId="627E2109" w14:textId="77777777" w:rsidR="00EA4AD7" w:rsidRPr="001C5072" w:rsidRDefault="00EA4AD7" w:rsidP="00007DE4">
      <w:pPr>
        <w:pStyle w:val="ListParagraph"/>
        <w:numPr>
          <w:ilvl w:val="1"/>
          <w:numId w:val="24"/>
        </w:numPr>
        <w:jc w:val="both"/>
        <w:rPr>
          <w:vanish/>
        </w:rPr>
      </w:pPr>
    </w:p>
    <w:p w14:paraId="1BC64730" w14:textId="77777777" w:rsidR="00EA4AD7" w:rsidRPr="001C5072" w:rsidRDefault="00EA4AD7" w:rsidP="00007DE4">
      <w:pPr>
        <w:pStyle w:val="ListParagraph"/>
        <w:numPr>
          <w:ilvl w:val="1"/>
          <w:numId w:val="24"/>
        </w:numPr>
        <w:jc w:val="both"/>
        <w:rPr>
          <w:vanish/>
        </w:rPr>
      </w:pPr>
    </w:p>
    <w:p w14:paraId="20A5CC03" w14:textId="62563BCB" w:rsidR="00EA4AD7" w:rsidRDefault="00EA4AD7" w:rsidP="00007DE4">
      <w:pPr>
        <w:pStyle w:val="ListParagraph"/>
        <w:numPr>
          <w:ilvl w:val="2"/>
          <w:numId w:val="24"/>
        </w:numPr>
        <w:ind w:left="1350" w:hanging="630"/>
        <w:jc w:val="both"/>
      </w:pPr>
      <w:r>
        <w:t xml:space="preserve">Vendors are strongly encouraged to submit any proposed modifications to the requirements, terms, or conditions of the RFP on </w:t>
      </w:r>
      <w:r>
        <w:rPr>
          <w:b/>
        </w:rPr>
        <w:t>Exhibit 11 – Modifications and Exceptions</w:t>
      </w:r>
      <w:r>
        <w:t xml:space="preserve"> prior to the deadline to submit questions.  Questions regarding these requirements must contain the following:</w:t>
      </w:r>
    </w:p>
    <w:p w14:paraId="1390652F" w14:textId="77777777" w:rsidR="00EA4AD7" w:rsidRDefault="00EA4AD7" w:rsidP="00EA4AD7">
      <w:pPr>
        <w:pStyle w:val="ListParagraph"/>
        <w:ind w:left="1350"/>
        <w:jc w:val="both"/>
      </w:pPr>
    </w:p>
    <w:p w14:paraId="25868A9A" w14:textId="77777777" w:rsidR="00EA4AD7" w:rsidRDefault="00EA4AD7" w:rsidP="00007DE4">
      <w:pPr>
        <w:pStyle w:val="ListParagraph"/>
        <w:numPr>
          <w:ilvl w:val="3"/>
          <w:numId w:val="24"/>
        </w:numPr>
        <w:ind w:left="1890" w:hanging="810"/>
        <w:jc w:val="both"/>
      </w:pPr>
      <w:r>
        <w:t>The rationale for the specific requirement being unacceptable to the party submitting the question (define the deficiency).</w:t>
      </w:r>
    </w:p>
    <w:p w14:paraId="357FF735" w14:textId="77777777" w:rsidR="00EA4AD7" w:rsidRDefault="00EA4AD7" w:rsidP="00EA4AD7">
      <w:pPr>
        <w:pStyle w:val="ListParagraph"/>
        <w:ind w:left="1890"/>
        <w:jc w:val="both"/>
      </w:pPr>
    </w:p>
    <w:p w14:paraId="093B8E1D" w14:textId="77777777" w:rsidR="00EA4AD7" w:rsidRDefault="00EA4AD7" w:rsidP="00007DE4">
      <w:pPr>
        <w:pStyle w:val="ListParagraph"/>
        <w:numPr>
          <w:ilvl w:val="3"/>
          <w:numId w:val="24"/>
        </w:numPr>
        <w:ind w:left="1890" w:hanging="810"/>
        <w:jc w:val="both"/>
      </w:pPr>
      <w:r>
        <w:t>Recommended verbiage for the State’s consideration that is consistent in content, context, and form with the State’s requirement that is being questioned.</w:t>
      </w:r>
    </w:p>
    <w:p w14:paraId="4CC7AA8D" w14:textId="77777777" w:rsidR="00EA4AD7" w:rsidRDefault="00EA4AD7" w:rsidP="00EA4AD7">
      <w:pPr>
        <w:jc w:val="both"/>
      </w:pPr>
    </w:p>
    <w:p w14:paraId="22E6D005" w14:textId="77777777" w:rsidR="00EA4AD7" w:rsidRDefault="00EA4AD7" w:rsidP="00007DE4">
      <w:pPr>
        <w:pStyle w:val="ListParagraph"/>
        <w:numPr>
          <w:ilvl w:val="3"/>
          <w:numId w:val="24"/>
        </w:numPr>
        <w:ind w:left="1890" w:hanging="810"/>
        <w:jc w:val="both"/>
      </w:pPr>
      <w:r>
        <w:t>Explanation of how the State’s acceptance of the recommended verbiage is fair and equitable to both the State and to the party submitting the question.</w:t>
      </w:r>
    </w:p>
    <w:p w14:paraId="0BC71FC5" w14:textId="77777777" w:rsidR="00EA4AD7" w:rsidRDefault="00EA4AD7" w:rsidP="00EA4AD7">
      <w:pPr>
        <w:ind w:left="720"/>
        <w:jc w:val="both"/>
      </w:pPr>
    </w:p>
    <w:p w14:paraId="711A74C5" w14:textId="77777777" w:rsidR="00EA4AD7" w:rsidRPr="00E77C16" w:rsidRDefault="00EA4AD7" w:rsidP="00007DE4">
      <w:pPr>
        <w:pStyle w:val="ListParagraph"/>
        <w:numPr>
          <w:ilvl w:val="2"/>
          <w:numId w:val="24"/>
        </w:numPr>
        <w:ind w:left="1350" w:hanging="630"/>
        <w:jc w:val="both"/>
      </w:pPr>
      <w:r>
        <w:t xml:space="preserve">In the event that a Proposal contains modifications or exceptions to any Solicitation requirements, terms, or conditions which are not addressed during the question and answer period, they must be identified and submitted on Exhibit 11 - Modification and Exception Form and must contain the same information outlined in Section 1.8, above.  The State will not consider any modifications or exceptions that are not identified specifically on Exhibit 11. </w:t>
      </w:r>
    </w:p>
    <w:p w14:paraId="1EFEB037" w14:textId="77777777" w:rsidR="00EA4AD7" w:rsidRPr="00E77C16" w:rsidRDefault="00EA4AD7" w:rsidP="00EA4AD7">
      <w:pPr>
        <w:ind w:left="720"/>
        <w:jc w:val="both"/>
      </w:pPr>
    </w:p>
    <w:p w14:paraId="2BBAF131" w14:textId="1CA83CD7" w:rsidR="00EA4AD7" w:rsidRPr="00E77C16" w:rsidRDefault="00EA4AD7" w:rsidP="00007DE4">
      <w:pPr>
        <w:pStyle w:val="ListParagraph"/>
        <w:numPr>
          <w:ilvl w:val="2"/>
          <w:numId w:val="24"/>
        </w:numPr>
        <w:ind w:left="1350" w:hanging="630"/>
        <w:jc w:val="both"/>
      </w:pPr>
      <w:r>
        <w:t>The State has sole discretion to determine if the modifications or exceptions submitted by an Offeror would result in a material change or otherwise threaten the integrity of the procurement process.   See Idaho Terms and Conditions Background and Limitations.  Pursuant to IDAPA 38.05.01.084.e, the State may only negotiate non-material modifications or exceptions.  Modifications or exceptions which the State determines to be material, or which otherwise threaten the integrity of the procurement process, will not be accepted or negotiated.  If the Offeror has conditioned its Proposal on the State’s acceptance or negotiation of its proposed modifications or exceptions, and the modifications or exceptions are deemed material, the Offeror will be given the opportunity to retract the proposed modifications or exceptions from its Proposal.  Failure to do so will result in the Offeror’s Proposal being found non-responsive, after which it will receive no further consideration.</w:t>
      </w:r>
    </w:p>
    <w:p w14:paraId="3DC3BC05" w14:textId="77777777" w:rsidR="00EA4AD7" w:rsidRPr="00E77C16" w:rsidRDefault="00EA4AD7" w:rsidP="00EA4AD7">
      <w:pPr>
        <w:ind w:left="720"/>
        <w:jc w:val="both"/>
      </w:pPr>
    </w:p>
    <w:p w14:paraId="4349B802" w14:textId="3A26EB4F" w:rsidR="00395F5B" w:rsidRDefault="00EA4AD7" w:rsidP="00007DE4">
      <w:pPr>
        <w:pStyle w:val="ListParagraph"/>
        <w:numPr>
          <w:ilvl w:val="2"/>
          <w:numId w:val="24"/>
        </w:numPr>
        <w:ind w:left="1350" w:hanging="630"/>
        <w:jc w:val="both"/>
      </w:pPr>
      <w:r>
        <w:t>Non-material modifications or exceptions may be discussed with the apparent successful Offeror, at the discretion of the State; however, the State must have the right to reject any and all such modifications and/or exceptions, or to call an end to such discussions, and to instruct the Offeror to amend its Proposal and remove the modifications and/or exceptions.  Failure to do so may result in the State finding the Proposal non-responsive.</w:t>
      </w:r>
    </w:p>
    <w:p w14:paraId="7E24EC94" w14:textId="77777777" w:rsidR="00395F5B" w:rsidRDefault="00395F5B" w:rsidP="00395F5B">
      <w:pPr>
        <w:pStyle w:val="ListParagraph"/>
      </w:pPr>
    </w:p>
    <w:p w14:paraId="55AD1DB5" w14:textId="7E0C91FE" w:rsidR="00EA4AD7" w:rsidRDefault="00EA4AD7" w:rsidP="00007DE4">
      <w:pPr>
        <w:pStyle w:val="ListParagraph"/>
        <w:numPr>
          <w:ilvl w:val="2"/>
          <w:numId w:val="24"/>
        </w:numPr>
        <w:ind w:left="1350" w:hanging="630"/>
        <w:jc w:val="both"/>
      </w:pPr>
      <w:r>
        <w:t>Except as otherwise provided within the Solicitation, the State will not consider modifications or exceptions to the requirements, terms, or conditions which are proposed after the RFP Closing Date.</w:t>
      </w:r>
    </w:p>
    <w:p w14:paraId="6D597CAC" w14:textId="77777777" w:rsidR="00EA4AD7" w:rsidRDefault="00EA4AD7" w:rsidP="00EA4AD7">
      <w:pPr>
        <w:jc w:val="both"/>
      </w:pPr>
    </w:p>
    <w:p w14:paraId="1D10BD1C" w14:textId="77777777" w:rsidR="00EA4AD7" w:rsidRPr="006C7BEB" w:rsidRDefault="00EA4AD7" w:rsidP="00EA4AD7">
      <w:pPr>
        <w:pStyle w:val="ListParagraph"/>
        <w:numPr>
          <w:ilvl w:val="0"/>
          <w:numId w:val="2"/>
        </w:numPr>
        <w:jc w:val="both"/>
        <w:rPr>
          <w:b/>
          <w:bCs/>
          <w:spacing w:val="20"/>
          <w:sz w:val="24"/>
          <w:szCs w:val="24"/>
        </w:rPr>
      </w:pPr>
      <w:r>
        <w:rPr>
          <w:b/>
          <w:bCs/>
          <w:spacing w:val="20"/>
          <w:sz w:val="24"/>
          <w:szCs w:val="24"/>
        </w:rPr>
        <w:t>Amendments</w:t>
      </w:r>
    </w:p>
    <w:p w14:paraId="2633A0EF" w14:textId="2DAE4EAE" w:rsidR="00EA4AD7" w:rsidRDefault="00EA4AD7" w:rsidP="00EA4AD7">
      <w:pPr>
        <w:ind w:left="720"/>
        <w:jc w:val="both"/>
      </w:pPr>
      <w:r>
        <w:t xml:space="preserve">The State may issue amendments to make changes to the RFP, or to respond to any questions.  Amendments will be posted on IPRO.  Offerors are responsible for monitoring IPRO for updates and amendments. All published amendments must become part of this RFP, and must be considered by the Offeror in its Proposal. Oral </w:t>
      </w:r>
      <w:r>
        <w:lastRenderedPageBreak/>
        <w:t>interpretations or clarifications of this RFP are not binding and should not be relied upon. Any verbal responses or informal communications from the State regarding this RFP are considered unofficial and will not be binding.</w:t>
      </w:r>
    </w:p>
    <w:p w14:paraId="25B1A86C" w14:textId="77777777" w:rsidR="00EA4AD7" w:rsidRDefault="00EA4AD7" w:rsidP="00EA4AD7">
      <w:pPr>
        <w:ind w:left="720"/>
        <w:jc w:val="both"/>
      </w:pPr>
    </w:p>
    <w:p w14:paraId="2B970888" w14:textId="77777777" w:rsidR="00EA4AD7" w:rsidRPr="006C7BEB" w:rsidRDefault="00EA4AD7" w:rsidP="00EA4AD7">
      <w:pPr>
        <w:pStyle w:val="ListParagraph"/>
        <w:numPr>
          <w:ilvl w:val="0"/>
          <w:numId w:val="2"/>
        </w:numPr>
        <w:jc w:val="both"/>
        <w:rPr>
          <w:b/>
          <w:bCs/>
          <w:spacing w:val="20"/>
          <w:sz w:val="24"/>
          <w:szCs w:val="24"/>
        </w:rPr>
      </w:pPr>
      <w:r>
        <w:rPr>
          <w:b/>
          <w:bCs/>
          <w:spacing w:val="20"/>
          <w:sz w:val="24"/>
          <w:szCs w:val="24"/>
        </w:rPr>
        <w:t xml:space="preserve">Authority </w:t>
      </w:r>
    </w:p>
    <w:p w14:paraId="5C2F2651" w14:textId="77777777" w:rsidR="00EA4AD7" w:rsidRDefault="00EA4AD7" w:rsidP="00EA4AD7">
      <w:pPr>
        <w:ind w:left="720"/>
        <w:jc w:val="both"/>
      </w:pPr>
      <w:r>
        <w:t xml:space="preserve">This procurement is conducted in accordance with IDAPA 38.05.01 and pursuant to Title 67, Chapter 92 of the Idaho Code. </w:t>
      </w:r>
    </w:p>
    <w:p w14:paraId="051A180F" w14:textId="77777777" w:rsidR="00A8041F" w:rsidRDefault="00A8041F" w:rsidP="00554A00">
      <w:pPr>
        <w:ind w:left="720"/>
        <w:jc w:val="both"/>
      </w:pPr>
    </w:p>
    <w:p w14:paraId="4204BD2A" w14:textId="6453A53F" w:rsidR="00884DA8" w:rsidRDefault="00884DA8" w:rsidP="00884DA8">
      <w:pPr>
        <w:ind w:left="720"/>
        <w:jc w:val="both"/>
      </w:pPr>
    </w:p>
    <w:p w14:paraId="0EFD9026" w14:textId="77777777" w:rsidR="00554A00" w:rsidRDefault="00554A00" w:rsidP="00884DA8">
      <w:pPr>
        <w:ind w:left="720"/>
        <w:jc w:val="both"/>
      </w:pPr>
    </w:p>
    <w:p w14:paraId="14107DFF" w14:textId="77777777" w:rsidR="00554A00" w:rsidRDefault="00554A00" w:rsidP="00884DA8">
      <w:pPr>
        <w:ind w:left="720"/>
        <w:jc w:val="both"/>
      </w:pPr>
    </w:p>
    <w:p w14:paraId="09A6F57B" w14:textId="77777777" w:rsidR="006C7BEB" w:rsidRDefault="006C7BEB" w:rsidP="005B213E">
      <w:pPr>
        <w:jc w:val="both"/>
      </w:pPr>
    </w:p>
    <w:p w14:paraId="37B31E91" w14:textId="77777777" w:rsidR="006C7BEB" w:rsidRDefault="006C7BEB" w:rsidP="005B213E">
      <w:pPr>
        <w:jc w:val="both"/>
      </w:pPr>
    </w:p>
    <w:p w14:paraId="70B94AEB" w14:textId="77777777" w:rsidR="006C7BEB" w:rsidRDefault="006C7BEB" w:rsidP="005B213E">
      <w:pPr>
        <w:jc w:val="both"/>
      </w:pPr>
    </w:p>
    <w:p w14:paraId="26D6EF30" w14:textId="77777777" w:rsidR="006C7BEB" w:rsidRDefault="006C7BEB" w:rsidP="005B213E">
      <w:pPr>
        <w:jc w:val="both"/>
      </w:pPr>
    </w:p>
    <w:p w14:paraId="06111E13" w14:textId="77777777" w:rsidR="007C4B3F" w:rsidRDefault="007C4B3F" w:rsidP="005B213E">
      <w:pPr>
        <w:jc w:val="both"/>
      </w:pPr>
    </w:p>
    <w:p w14:paraId="074DC2D8" w14:textId="4D389649" w:rsidR="007C4B3F" w:rsidRDefault="007C4B3F">
      <w:r>
        <w:br w:type="page"/>
      </w:r>
    </w:p>
    <w:p w14:paraId="356FA4D9" w14:textId="5AB96AE6" w:rsidR="007C4B3F" w:rsidRPr="008B4867" w:rsidRDefault="007C4B3F" w:rsidP="007C4B3F">
      <w:pPr>
        <w:jc w:val="both"/>
        <w:rPr>
          <w:rFonts w:cstheme="minorHAnsi"/>
          <w:color w:val="0070C0"/>
          <w:spacing w:val="20"/>
          <w:sz w:val="48"/>
          <w:szCs w:val="44"/>
        </w:rPr>
      </w:pPr>
      <w:r>
        <w:rPr>
          <w:rFonts w:cstheme="minorHAnsi"/>
          <w:color w:val="0070C0"/>
          <w:spacing w:val="20"/>
          <w:sz w:val="48"/>
          <w:szCs w:val="44"/>
        </w:rPr>
        <w:lastRenderedPageBreak/>
        <w:t xml:space="preserve">Section 2 </w:t>
      </w:r>
    </w:p>
    <w:p w14:paraId="1713F944" w14:textId="320676AD" w:rsidR="007C4B3F" w:rsidRPr="008B4867" w:rsidRDefault="00A5375C" w:rsidP="008B4867">
      <w:pPr>
        <w:shd w:val="clear" w:color="auto" w:fill="0070C0"/>
        <w:jc w:val="both"/>
        <w:rPr>
          <w:rFonts w:cstheme="minorHAnsi"/>
          <w:color w:val="FFFFFF" w:themeColor="background1"/>
          <w:spacing w:val="20"/>
          <w:sz w:val="36"/>
          <w:szCs w:val="32"/>
        </w:rPr>
      </w:pPr>
      <w:r>
        <w:rPr>
          <w:rFonts w:cstheme="minorHAnsi"/>
          <w:color w:val="FFFFFF" w:themeColor="background1"/>
          <w:spacing w:val="20"/>
          <w:sz w:val="36"/>
          <w:szCs w:val="32"/>
        </w:rPr>
        <w:t>Format &amp; Submission Requirements</w:t>
      </w:r>
    </w:p>
    <w:p w14:paraId="012F784E" w14:textId="77777777" w:rsidR="007C4B3F" w:rsidRDefault="007C4B3F" w:rsidP="007C4B3F">
      <w:pPr>
        <w:jc w:val="both"/>
      </w:pPr>
    </w:p>
    <w:p w14:paraId="1526EAE1" w14:textId="11E53CB1" w:rsidR="007C4B3F" w:rsidRPr="00A5375C" w:rsidRDefault="00E66576" w:rsidP="00A5375C">
      <w:pPr>
        <w:pStyle w:val="ListParagraph"/>
        <w:numPr>
          <w:ilvl w:val="0"/>
          <w:numId w:val="3"/>
        </w:numPr>
        <w:jc w:val="both"/>
        <w:rPr>
          <w:b/>
          <w:bCs/>
          <w:spacing w:val="20"/>
          <w:sz w:val="24"/>
          <w:szCs w:val="24"/>
        </w:rPr>
      </w:pPr>
      <w:r>
        <w:rPr>
          <w:b/>
          <w:bCs/>
          <w:spacing w:val="20"/>
          <w:sz w:val="24"/>
          <w:szCs w:val="24"/>
        </w:rPr>
        <w:t xml:space="preserve">Adherence to Requirements </w:t>
      </w:r>
    </w:p>
    <w:p w14:paraId="5516C5EB" w14:textId="1EB9679D" w:rsidR="00E66576" w:rsidRDefault="00E66576" w:rsidP="00E66576">
      <w:pPr>
        <w:ind w:left="720"/>
        <w:jc w:val="both"/>
      </w:pPr>
      <w:r>
        <w:t>The Proposal must be submitted in accordance with the requirements set forth in this document. Any Proposal that does not adhere to the requirements may be deemed non-responsive and rejected. The State reserves the right, in its sole discretion, to waive any minor informalities or immaterial non-compliance.</w:t>
      </w:r>
    </w:p>
    <w:p w14:paraId="65B3A535" w14:textId="77777777" w:rsidR="00E66576" w:rsidRDefault="00E66576" w:rsidP="00E66576">
      <w:pPr>
        <w:ind w:left="720"/>
        <w:jc w:val="both"/>
      </w:pPr>
    </w:p>
    <w:p w14:paraId="5D26B572" w14:textId="41CB5EC3" w:rsidR="00E66576" w:rsidRPr="00A5375C" w:rsidRDefault="00E66576" w:rsidP="00E66576">
      <w:pPr>
        <w:pStyle w:val="ListParagraph"/>
        <w:numPr>
          <w:ilvl w:val="0"/>
          <w:numId w:val="3"/>
        </w:numPr>
        <w:jc w:val="both"/>
        <w:rPr>
          <w:b/>
          <w:bCs/>
          <w:spacing w:val="20"/>
          <w:sz w:val="24"/>
          <w:szCs w:val="24"/>
        </w:rPr>
      </w:pPr>
      <w:r>
        <w:rPr>
          <w:b/>
          <w:bCs/>
          <w:spacing w:val="20"/>
          <w:sz w:val="24"/>
          <w:szCs w:val="24"/>
        </w:rPr>
        <w:t xml:space="preserve">Deadline to Submit </w:t>
      </w:r>
    </w:p>
    <w:p w14:paraId="1DEB52E7" w14:textId="3B630FBD" w:rsidR="00E66576" w:rsidRDefault="00E66576" w:rsidP="00E66576">
      <w:pPr>
        <w:ind w:left="720"/>
        <w:jc w:val="both"/>
      </w:pPr>
      <w:r>
        <w:t>All Proposals are due at the date and time specified in the Procurement Schedule (Section 1.2). Late Proposals must not be accepted or considered. The State must not be responsible for any technical issues, difficulties, or delays.  Offerors are strongly encouraged to begin the process of submitting the Proposal response far enough in advance of the Closing Date/Time to allow for resolution of any technical difficulties.</w:t>
      </w:r>
    </w:p>
    <w:p w14:paraId="6F5E8C5B" w14:textId="77777777" w:rsidR="000B2441" w:rsidRDefault="000B2441" w:rsidP="00E66576">
      <w:pPr>
        <w:ind w:left="720"/>
        <w:jc w:val="both"/>
      </w:pPr>
    </w:p>
    <w:p w14:paraId="61974A1D" w14:textId="4C886F84" w:rsidR="00E66576" w:rsidRDefault="00E66576" w:rsidP="00E66576">
      <w:pPr>
        <w:pStyle w:val="ListParagraph"/>
        <w:numPr>
          <w:ilvl w:val="0"/>
          <w:numId w:val="3"/>
        </w:numPr>
        <w:jc w:val="both"/>
      </w:pPr>
      <w:r>
        <w:rPr>
          <w:b/>
          <w:bCs/>
          <w:spacing w:val="20"/>
          <w:sz w:val="24"/>
          <w:szCs w:val="24"/>
        </w:rPr>
        <w:t xml:space="preserve">Submittal Form Templates </w:t>
      </w:r>
    </w:p>
    <w:p w14:paraId="20452638" w14:textId="4B8289DB" w:rsidR="00E66576" w:rsidRDefault="00E66576" w:rsidP="00E66576">
      <w:pPr>
        <w:ind w:left="720"/>
        <w:jc w:val="both"/>
      </w:pPr>
      <w:r>
        <w:t xml:space="preserve">The Offeror must ensure that their response meets all requirements detailed within this RFP. This RFP contains Submittal Forms, which must be used by the Offeror to submit their Proposal.  Offerors must not re-create these Submittal Forms, create their own Submittal Forms, or edit the format structure of the Submittal Forms. An electronic copy of each Submittal Form is posted along with this RFP. The Offeror must download, complete, and submit each Submittal Form in their response.  </w:t>
      </w:r>
    </w:p>
    <w:p w14:paraId="17D7EEBD" w14:textId="77777777" w:rsidR="00E66576" w:rsidRDefault="00E66576" w:rsidP="00E66576">
      <w:pPr>
        <w:ind w:left="720"/>
        <w:jc w:val="both"/>
      </w:pPr>
    </w:p>
    <w:p w14:paraId="04031AF9" w14:textId="6AFE3C7E" w:rsidR="00E66576" w:rsidRPr="00A5375C" w:rsidRDefault="00E66576" w:rsidP="00E66576">
      <w:pPr>
        <w:pStyle w:val="ListParagraph"/>
        <w:numPr>
          <w:ilvl w:val="0"/>
          <w:numId w:val="3"/>
        </w:numPr>
        <w:jc w:val="both"/>
        <w:rPr>
          <w:b/>
          <w:bCs/>
          <w:spacing w:val="20"/>
          <w:sz w:val="24"/>
          <w:szCs w:val="24"/>
        </w:rPr>
      </w:pPr>
      <w:r>
        <w:rPr>
          <w:b/>
          <w:bCs/>
          <w:spacing w:val="20"/>
          <w:sz w:val="24"/>
          <w:szCs w:val="24"/>
        </w:rPr>
        <w:t xml:space="preserve">General Format Requirements </w:t>
      </w:r>
    </w:p>
    <w:p w14:paraId="052B23A8" w14:textId="144B51AA" w:rsidR="00216CC4" w:rsidRDefault="00216CC4" w:rsidP="000126C4">
      <w:pPr>
        <w:ind w:left="720"/>
        <w:jc w:val="both"/>
      </w:pPr>
      <w:r>
        <w:t>The Proposal response must meet the following requirements:</w:t>
      </w:r>
    </w:p>
    <w:p w14:paraId="2075F822" w14:textId="77777777" w:rsidR="006B6278" w:rsidRDefault="00E66576" w:rsidP="00007DE4">
      <w:pPr>
        <w:pStyle w:val="ListParagraph"/>
        <w:numPr>
          <w:ilvl w:val="0"/>
          <w:numId w:val="5"/>
        </w:numPr>
        <w:ind w:left="1260" w:hanging="540"/>
        <w:jc w:val="both"/>
      </w:pPr>
      <w:r>
        <w:t>The Offeror must not embed information, embed files, or embed any links within the Submittals.</w:t>
      </w:r>
    </w:p>
    <w:p w14:paraId="04A72A96" w14:textId="77777777" w:rsidR="006B6278" w:rsidRDefault="006B6278" w:rsidP="00007DE4">
      <w:pPr>
        <w:pStyle w:val="ListParagraph"/>
        <w:numPr>
          <w:ilvl w:val="0"/>
          <w:numId w:val="5"/>
        </w:numPr>
        <w:ind w:left="1260" w:hanging="540"/>
        <w:jc w:val="both"/>
      </w:pPr>
      <w:r>
        <w:t>Be made on standard 8.5” x 11” paper size.</w:t>
      </w:r>
    </w:p>
    <w:p w14:paraId="45B02391" w14:textId="77777777" w:rsidR="006B6278" w:rsidRDefault="006B6278" w:rsidP="00007DE4">
      <w:pPr>
        <w:pStyle w:val="ListParagraph"/>
        <w:numPr>
          <w:ilvl w:val="0"/>
          <w:numId w:val="5"/>
        </w:numPr>
        <w:ind w:left="1260" w:hanging="540"/>
        <w:jc w:val="both"/>
      </w:pPr>
      <w:r>
        <w:t>Use a minimum font size of ten (10) (images, figures, graphs, charts, are excluded from this font size).</w:t>
      </w:r>
    </w:p>
    <w:p w14:paraId="55E7C090" w14:textId="4BB4ED0F" w:rsidR="006B6278" w:rsidRDefault="006B6278" w:rsidP="00007DE4">
      <w:pPr>
        <w:pStyle w:val="ListParagraph"/>
        <w:numPr>
          <w:ilvl w:val="0"/>
          <w:numId w:val="5"/>
        </w:numPr>
        <w:ind w:left="1260" w:hanging="540"/>
        <w:jc w:val="both"/>
      </w:pPr>
      <w:r>
        <w:t>Use a font style such as: Calibri, Arial, Times New Roman, or similar.</w:t>
      </w:r>
    </w:p>
    <w:p w14:paraId="49A9BA88" w14:textId="77777777" w:rsidR="006B6278" w:rsidRDefault="006B6278" w:rsidP="00007DE4">
      <w:pPr>
        <w:pStyle w:val="ListParagraph"/>
        <w:numPr>
          <w:ilvl w:val="0"/>
          <w:numId w:val="5"/>
        </w:numPr>
        <w:ind w:left="1260" w:hanging="540"/>
        <w:jc w:val="both"/>
      </w:pPr>
      <w:r>
        <w:t>The Offeror must not attach additional information to any Submittal Form (unless it has been explicitly requested).  Any additional attachments submitted will not be considered in the evaluation process.</w:t>
      </w:r>
    </w:p>
    <w:p w14:paraId="27EBC0E9" w14:textId="008CB2D1" w:rsidR="00216CC4" w:rsidRDefault="006B6278" w:rsidP="00007DE4">
      <w:pPr>
        <w:pStyle w:val="ListParagraph"/>
        <w:numPr>
          <w:ilvl w:val="0"/>
          <w:numId w:val="5"/>
        </w:numPr>
        <w:ind w:left="1260" w:hanging="540"/>
        <w:jc w:val="both"/>
      </w:pPr>
      <w:r>
        <w:t xml:space="preserve">Cost information must only be contained within the Pricing Schedule Submittal Form.  No other document or Submittal Form may contain cost or pricing information.   </w:t>
      </w:r>
    </w:p>
    <w:p w14:paraId="1CB8EF6B" w14:textId="439C7AAB" w:rsidR="00E66576" w:rsidRDefault="00E66576" w:rsidP="006B6278">
      <w:pPr>
        <w:pStyle w:val="ListParagraph"/>
        <w:ind w:left="1260"/>
        <w:jc w:val="both"/>
      </w:pPr>
    </w:p>
    <w:p w14:paraId="3BB28702" w14:textId="56CCDCC5" w:rsidR="00056DE1" w:rsidRPr="00A5375C" w:rsidRDefault="00056DE1" w:rsidP="00056DE1">
      <w:pPr>
        <w:pStyle w:val="ListParagraph"/>
        <w:numPr>
          <w:ilvl w:val="0"/>
          <w:numId w:val="3"/>
        </w:numPr>
        <w:jc w:val="both"/>
        <w:rPr>
          <w:b/>
          <w:bCs/>
          <w:spacing w:val="20"/>
          <w:sz w:val="24"/>
          <w:szCs w:val="24"/>
        </w:rPr>
      </w:pPr>
      <w:r>
        <w:rPr>
          <w:b/>
          <w:bCs/>
          <w:spacing w:val="20"/>
          <w:sz w:val="24"/>
          <w:szCs w:val="24"/>
        </w:rPr>
        <w:t>Page Limits</w:t>
      </w:r>
    </w:p>
    <w:p w14:paraId="63F18814" w14:textId="72FE84CC" w:rsidR="00056DE1" w:rsidRDefault="00056DE1" w:rsidP="00056DE1">
      <w:pPr>
        <w:ind w:left="720"/>
        <w:jc w:val="both"/>
      </w:pPr>
      <w:r>
        <w:t>The Submittal Forms have maximum page limit requirements, as shown in the table below. The Offeror must ensure that their Proposal meets these page limit requirements. Offerors must not exceed the maximum page limits. Please note that the page limit applies exclusively to the front side of a page only (i.e. a '1 Page' implies that the Offeror can only provide a response on one side of a piece of paper). Additional text will be removed or redacted before being provided to evaluators; only the text within the page limit will be evaluated. Offerors may add a cover page and table of contents which will not affect the Maximum Page Limits and this information will not be used for evaluating Offerors Proposal. Any substantive content added to the cover page or table of contents will be removed or redacted before being provided to evaluators.</w:t>
      </w:r>
    </w:p>
    <w:p w14:paraId="0F675434" w14:textId="77777777" w:rsidR="00056DE1" w:rsidRDefault="00056DE1" w:rsidP="00056DE1">
      <w:pPr>
        <w:ind w:left="720"/>
        <w:jc w:val="both"/>
      </w:pPr>
    </w:p>
    <w:tbl>
      <w:tblPr>
        <w:tblStyle w:val="TableGrid"/>
        <w:tblW w:w="9930" w:type="dxa"/>
        <w:tblInd w:w="864" w:type="dxa"/>
        <w:tblLook w:val="04A0" w:firstRow="1" w:lastRow="0" w:firstColumn="1" w:lastColumn="0" w:noHBand="0" w:noVBand="1"/>
      </w:tblPr>
      <w:tblGrid>
        <w:gridCol w:w="1776"/>
        <w:gridCol w:w="6689"/>
        <w:gridCol w:w="1465"/>
      </w:tblGrid>
      <w:tr w:rsidR="00A0123B" w14:paraId="54163437" w14:textId="77777777" w:rsidTr="006B6278">
        <w:trPr>
          <w:trHeight w:val="37"/>
        </w:trPr>
        <w:tc>
          <w:tcPr>
            <w:tcW w:w="8465" w:type="dxa"/>
            <w:gridSpan w:val="2"/>
            <w:shd w:val="clear" w:color="auto" w:fill="F2F2F2" w:themeFill="background1" w:themeFillShade="F2"/>
            <w:vAlign w:val="center"/>
          </w:tcPr>
          <w:p w14:paraId="62E810E1" w14:textId="601EC851" w:rsidR="00A0123B" w:rsidRPr="00056DE1" w:rsidRDefault="00A0123B" w:rsidP="00A0123B">
            <w:pPr>
              <w:jc w:val="center"/>
              <w:rPr>
                <w:b/>
                <w:bCs/>
              </w:rPr>
            </w:pPr>
            <w:r>
              <w:rPr>
                <w:b/>
                <w:bCs/>
              </w:rPr>
              <w:t>Submittal Form</w:t>
            </w:r>
          </w:p>
        </w:tc>
        <w:tc>
          <w:tcPr>
            <w:tcW w:w="1465" w:type="dxa"/>
            <w:shd w:val="clear" w:color="auto" w:fill="F2F2F2" w:themeFill="background1" w:themeFillShade="F2"/>
            <w:vAlign w:val="center"/>
          </w:tcPr>
          <w:p w14:paraId="7BDC78E0" w14:textId="16A528D9" w:rsidR="00A0123B" w:rsidRPr="00056DE1" w:rsidRDefault="00A0123B" w:rsidP="00A0123B">
            <w:pPr>
              <w:jc w:val="center"/>
              <w:rPr>
                <w:b/>
                <w:bCs/>
              </w:rPr>
            </w:pPr>
            <w:r>
              <w:rPr>
                <w:b/>
                <w:bCs/>
              </w:rPr>
              <w:t>Maximum Page Limits</w:t>
            </w:r>
          </w:p>
        </w:tc>
      </w:tr>
      <w:tr w:rsidR="00A0123B" w14:paraId="42AE922D" w14:textId="77777777" w:rsidTr="006B6278">
        <w:trPr>
          <w:trHeight w:val="37"/>
        </w:trPr>
        <w:tc>
          <w:tcPr>
            <w:tcW w:w="1776" w:type="dxa"/>
            <w:vAlign w:val="center"/>
          </w:tcPr>
          <w:p w14:paraId="437D240C" w14:textId="483029BB" w:rsidR="00A0123B" w:rsidRDefault="00A0123B" w:rsidP="00A0123B">
            <w:pPr>
              <w:jc w:val="both"/>
            </w:pPr>
            <w:r>
              <w:t>Submittal Form A</w:t>
            </w:r>
          </w:p>
        </w:tc>
        <w:tc>
          <w:tcPr>
            <w:tcW w:w="6689" w:type="dxa"/>
            <w:vAlign w:val="center"/>
          </w:tcPr>
          <w:p w14:paraId="72DE1225" w14:textId="17F7B12E" w:rsidR="00A0123B" w:rsidRDefault="00A0123B" w:rsidP="00A0123B">
            <w:pPr>
              <w:jc w:val="both"/>
            </w:pPr>
            <w:r>
              <w:t xml:space="preserve">Background, Declarations, &amp; Certifications </w:t>
            </w:r>
          </w:p>
        </w:tc>
        <w:tc>
          <w:tcPr>
            <w:tcW w:w="1465" w:type="dxa"/>
            <w:vAlign w:val="center"/>
          </w:tcPr>
          <w:p w14:paraId="4C6B126C" w14:textId="2F1368B8" w:rsidR="00A0123B" w:rsidRDefault="00A0123B" w:rsidP="00A0123B">
            <w:pPr>
              <w:jc w:val="center"/>
            </w:pPr>
            <w:r>
              <w:t>n/a</w:t>
            </w:r>
          </w:p>
        </w:tc>
      </w:tr>
      <w:tr w:rsidR="00FB3118" w14:paraId="7B923089" w14:textId="77777777" w:rsidTr="006B6278">
        <w:trPr>
          <w:trHeight w:val="37"/>
        </w:trPr>
        <w:tc>
          <w:tcPr>
            <w:tcW w:w="1776" w:type="dxa"/>
            <w:vMerge w:val="restart"/>
            <w:vAlign w:val="center"/>
          </w:tcPr>
          <w:p w14:paraId="55E08ABA" w14:textId="3E72C0A3" w:rsidR="00FB3118" w:rsidRPr="00B46951" w:rsidRDefault="00FB3118" w:rsidP="00A0123B">
            <w:pPr>
              <w:jc w:val="both"/>
            </w:pPr>
            <w:r>
              <w:t>Submittal Form B</w:t>
            </w:r>
          </w:p>
        </w:tc>
        <w:tc>
          <w:tcPr>
            <w:tcW w:w="6689" w:type="dxa"/>
            <w:vAlign w:val="center"/>
          </w:tcPr>
          <w:p w14:paraId="3E2A9320" w14:textId="0ED2CC4F" w:rsidR="00FB3118" w:rsidRPr="00FD0BD2" w:rsidRDefault="00FB3118" w:rsidP="00A0123B">
            <w:pPr>
              <w:jc w:val="both"/>
            </w:pPr>
            <w:r>
              <w:t>Qualifications &amp; Experience</w:t>
            </w:r>
          </w:p>
        </w:tc>
        <w:tc>
          <w:tcPr>
            <w:tcW w:w="1465" w:type="dxa"/>
            <w:vAlign w:val="center"/>
          </w:tcPr>
          <w:p w14:paraId="025B171C" w14:textId="68ACFCA5" w:rsidR="00FB3118" w:rsidRPr="00FD0BD2" w:rsidRDefault="00BE0D39" w:rsidP="00A0123B">
            <w:pPr>
              <w:jc w:val="center"/>
            </w:pPr>
            <w:r>
              <w:t>4 Pages</w:t>
            </w:r>
          </w:p>
        </w:tc>
      </w:tr>
      <w:tr w:rsidR="00FB3118" w14:paraId="51B74B8B" w14:textId="77777777" w:rsidTr="006B6278">
        <w:trPr>
          <w:trHeight w:val="37"/>
        </w:trPr>
        <w:tc>
          <w:tcPr>
            <w:tcW w:w="1776" w:type="dxa"/>
            <w:vMerge/>
            <w:vAlign w:val="center"/>
          </w:tcPr>
          <w:p w14:paraId="31661075" w14:textId="0F7636D4" w:rsidR="00FB3118" w:rsidRPr="0061075C" w:rsidRDefault="00FB3118" w:rsidP="00A0123B">
            <w:pPr>
              <w:jc w:val="both"/>
              <w:rPr>
                <w:highlight w:val="yellow"/>
              </w:rPr>
            </w:pPr>
          </w:p>
        </w:tc>
        <w:tc>
          <w:tcPr>
            <w:tcW w:w="6689" w:type="dxa"/>
            <w:vAlign w:val="center"/>
          </w:tcPr>
          <w:p w14:paraId="325CEDC9" w14:textId="74F67293" w:rsidR="00FB3118" w:rsidRPr="00FD0BD2" w:rsidRDefault="00FB3118" w:rsidP="00A0123B">
            <w:pPr>
              <w:jc w:val="both"/>
            </w:pPr>
            <w:r>
              <w:t>Approach</w:t>
            </w:r>
          </w:p>
        </w:tc>
        <w:tc>
          <w:tcPr>
            <w:tcW w:w="1465" w:type="dxa"/>
            <w:vAlign w:val="center"/>
          </w:tcPr>
          <w:p w14:paraId="321B05B9" w14:textId="0C744542" w:rsidR="00FB3118" w:rsidRPr="00FD0BD2" w:rsidRDefault="00BE0D39" w:rsidP="00A0123B">
            <w:pPr>
              <w:jc w:val="center"/>
            </w:pPr>
            <w:r>
              <w:t>6 Pages</w:t>
            </w:r>
          </w:p>
        </w:tc>
      </w:tr>
      <w:tr w:rsidR="00FB3118" w14:paraId="7279C95A" w14:textId="77777777" w:rsidTr="006B6278">
        <w:trPr>
          <w:trHeight w:val="37"/>
        </w:trPr>
        <w:tc>
          <w:tcPr>
            <w:tcW w:w="1776" w:type="dxa"/>
            <w:vMerge/>
            <w:vAlign w:val="center"/>
          </w:tcPr>
          <w:p w14:paraId="0B740234" w14:textId="45222687" w:rsidR="00FB3118" w:rsidRPr="0061075C" w:rsidRDefault="00FB3118" w:rsidP="00A0123B">
            <w:pPr>
              <w:jc w:val="both"/>
              <w:rPr>
                <w:highlight w:val="yellow"/>
              </w:rPr>
            </w:pPr>
          </w:p>
        </w:tc>
        <w:tc>
          <w:tcPr>
            <w:tcW w:w="6689" w:type="dxa"/>
            <w:vAlign w:val="center"/>
          </w:tcPr>
          <w:p w14:paraId="1D845473" w14:textId="2D966325" w:rsidR="00FB3118" w:rsidRPr="00FD0BD2" w:rsidRDefault="00FB3118" w:rsidP="00A0123B">
            <w:pPr>
              <w:jc w:val="both"/>
            </w:pPr>
            <w:r>
              <w:t xml:space="preserve">Obstacles, Challenges, &amp; Risks </w:t>
            </w:r>
          </w:p>
        </w:tc>
        <w:tc>
          <w:tcPr>
            <w:tcW w:w="1465" w:type="dxa"/>
            <w:vAlign w:val="center"/>
          </w:tcPr>
          <w:p w14:paraId="78A87ABE" w14:textId="59BAB220" w:rsidR="00FB3118" w:rsidRPr="00FD0BD2" w:rsidRDefault="00BE0D39" w:rsidP="00A0123B">
            <w:pPr>
              <w:jc w:val="center"/>
            </w:pPr>
            <w:r>
              <w:t>2 Pages</w:t>
            </w:r>
          </w:p>
        </w:tc>
      </w:tr>
      <w:tr w:rsidR="00FB3118" w14:paraId="70D06F3B" w14:textId="77777777" w:rsidTr="006B6278">
        <w:trPr>
          <w:trHeight w:val="37"/>
        </w:trPr>
        <w:tc>
          <w:tcPr>
            <w:tcW w:w="1776" w:type="dxa"/>
            <w:vMerge/>
            <w:vAlign w:val="center"/>
          </w:tcPr>
          <w:p w14:paraId="6943A92C" w14:textId="77777777" w:rsidR="00FB3118" w:rsidRPr="0061075C" w:rsidRDefault="00FB3118" w:rsidP="00A0123B">
            <w:pPr>
              <w:jc w:val="both"/>
              <w:rPr>
                <w:highlight w:val="yellow"/>
              </w:rPr>
            </w:pPr>
          </w:p>
        </w:tc>
        <w:tc>
          <w:tcPr>
            <w:tcW w:w="6689" w:type="dxa"/>
            <w:vAlign w:val="center"/>
          </w:tcPr>
          <w:p w14:paraId="63BDDC84" w14:textId="3D51A32E" w:rsidR="00FB3118" w:rsidRDefault="00FB3118" w:rsidP="00A0123B">
            <w:pPr>
              <w:jc w:val="both"/>
            </w:pPr>
            <w:r>
              <w:t>Scenarios</w:t>
            </w:r>
          </w:p>
        </w:tc>
        <w:tc>
          <w:tcPr>
            <w:tcW w:w="1465" w:type="dxa"/>
            <w:vAlign w:val="center"/>
          </w:tcPr>
          <w:p w14:paraId="05C1A480" w14:textId="7CDE3F7C" w:rsidR="00FB3118" w:rsidRDefault="00BE0D39" w:rsidP="00A0123B">
            <w:pPr>
              <w:jc w:val="center"/>
            </w:pPr>
            <w:r>
              <w:t>6 Pages</w:t>
            </w:r>
          </w:p>
        </w:tc>
      </w:tr>
      <w:tr w:rsidR="00A0123B" w14:paraId="0158BB52" w14:textId="77777777" w:rsidTr="006B6278">
        <w:trPr>
          <w:trHeight w:val="37"/>
        </w:trPr>
        <w:tc>
          <w:tcPr>
            <w:tcW w:w="1776" w:type="dxa"/>
            <w:vAlign w:val="center"/>
          </w:tcPr>
          <w:p w14:paraId="1EA7D620" w14:textId="4D1A0FDD" w:rsidR="00A0123B" w:rsidRDefault="00A0123B" w:rsidP="00A0123B">
            <w:pPr>
              <w:jc w:val="both"/>
            </w:pPr>
            <w:r>
              <w:t>Submittal Form C</w:t>
            </w:r>
          </w:p>
        </w:tc>
        <w:tc>
          <w:tcPr>
            <w:tcW w:w="6689" w:type="dxa"/>
            <w:vAlign w:val="center"/>
          </w:tcPr>
          <w:p w14:paraId="50607693" w14:textId="7D665216" w:rsidR="00A0123B" w:rsidRDefault="00A0123B" w:rsidP="00A0123B">
            <w:pPr>
              <w:jc w:val="both"/>
            </w:pPr>
            <w:r>
              <w:t>Pricing Schedule</w:t>
            </w:r>
          </w:p>
        </w:tc>
        <w:tc>
          <w:tcPr>
            <w:tcW w:w="1465" w:type="dxa"/>
            <w:vAlign w:val="center"/>
          </w:tcPr>
          <w:p w14:paraId="1FB1C17E" w14:textId="17A9C0DA" w:rsidR="00A0123B" w:rsidRDefault="00A0123B" w:rsidP="00A0123B">
            <w:pPr>
              <w:jc w:val="center"/>
            </w:pPr>
            <w:r>
              <w:t>n/a</w:t>
            </w:r>
          </w:p>
        </w:tc>
      </w:tr>
    </w:tbl>
    <w:p w14:paraId="20936858" w14:textId="77777777" w:rsidR="000126C4" w:rsidRDefault="000126C4" w:rsidP="00E66576">
      <w:pPr>
        <w:ind w:left="720"/>
        <w:jc w:val="both"/>
      </w:pPr>
    </w:p>
    <w:p w14:paraId="73849320" w14:textId="77777777" w:rsidR="000B2441" w:rsidRPr="00A5375C" w:rsidRDefault="000B2441" w:rsidP="000B2441">
      <w:pPr>
        <w:pStyle w:val="ListParagraph"/>
        <w:numPr>
          <w:ilvl w:val="0"/>
          <w:numId w:val="3"/>
        </w:numPr>
        <w:jc w:val="both"/>
        <w:rPr>
          <w:b/>
          <w:bCs/>
          <w:spacing w:val="20"/>
          <w:sz w:val="24"/>
          <w:szCs w:val="24"/>
        </w:rPr>
      </w:pPr>
      <w:r>
        <w:rPr>
          <w:b/>
          <w:bCs/>
          <w:spacing w:val="20"/>
          <w:sz w:val="24"/>
          <w:szCs w:val="24"/>
        </w:rPr>
        <w:lastRenderedPageBreak/>
        <w:t xml:space="preserve">Electronic Submission Instructions </w:t>
      </w:r>
    </w:p>
    <w:p w14:paraId="0BDBB495" w14:textId="72BD56D5" w:rsidR="001055CB" w:rsidRDefault="000B2441" w:rsidP="0095621A">
      <w:pPr>
        <w:ind w:left="720"/>
        <w:jc w:val="both"/>
      </w:pPr>
      <w:r>
        <w:t>The Offeror must submit the Proposal as follows:</w:t>
      </w:r>
    </w:p>
    <w:p w14:paraId="030904FF" w14:textId="77777777" w:rsidR="0095621A" w:rsidRPr="0095621A" w:rsidRDefault="0095621A" w:rsidP="00007DE4">
      <w:pPr>
        <w:pStyle w:val="ListParagraph"/>
        <w:numPr>
          <w:ilvl w:val="0"/>
          <w:numId w:val="18"/>
        </w:numPr>
        <w:jc w:val="both"/>
        <w:rPr>
          <w:vanish/>
        </w:rPr>
      </w:pPr>
    </w:p>
    <w:p w14:paraId="0EDECC89" w14:textId="77777777" w:rsidR="0095621A" w:rsidRPr="0095621A" w:rsidRDefault="0095621A" w:rsidP="00007DE4">
      <w:pPr>
        <w:pStyle w:val="ListParagraph"/>
        <w:numPr>
          <w:ilvl w:val="0"/>
          <w:numId w:val="18"/>
        </w:numPr>
        <w:jc w:val="both"/>
        <w:rPr>
          <w:vanish/>
        </w:rPr>
      </w:pPr>
    </w:p>
    <w:p w14:paraId="431B3A15" w14:textId="77777777" w:rsidR="0095621A" w:rsidRPr="0095621A" w:rsidRDefault="0095621A" w:rsidP="00007DE4">
      <w:pPr>
        <w:pStyle w:val="ListParagraph"/>
        <w:numPr>
          <w:ilvl w:val="1"/>
          <w:numId w:val="18"/>
        </w:numPr>
        <w:jc w:val="both"/>
        <w:rPr>
          <w:vanish/>
        </w:rPr>
      </w:pPr>
    </w:p>
    <w:p w14:paraId="61AB96C3" w14:textId="77777777" w:rsidR="0095621A" w:rsidRPr="0095621A" w:rsidRDefault="0095621A" w:rsidP="00007DE4">
      <w:pPr>
        <w:pStyle w:val="ListParagraph"/>
        <w:numPr>
          <w:ilvl w:val="1"/>
          <w:numId w:val="18"/>
        </w:numPr>
        <w:jc w:val="both"/>
        <w:rPr>
          <w:vanish/>
        </w:rPr>
      </w:pPr>
    </w:p>
    <w:p w14:paraId="03C54485" w14:textId="77777777" w:rsidR="0095621A" w:rsidRPr="0095621A" w:rsidRDefault="0095621A" w:rsidP="00007DE4">
      <w:pPr>
        <w:pStyle w:val="ListParagraph"/>
        <w:numPr>
          <w:ilvl w:val="1"/>
          <w:numId w:val="18"/>
        </w:numPr>
        <w:jc w:val="both"/>
        <w:rPr>
          <w:vanish/>
        </w:rPr>
      </w:pPr>
    </w:p>
    <w:p w14:paraId="21EE2AD6" w14:textId="77777777" w:rsidR="0095621A" w:rsidRPr="0095621A" w:rsidRDefault="0095621A" w:rsidP="00007DE4">
      <w:pPr>
        <w:pStyle w:val="ListParagraph"/>
        <w:numPr>
          <w:ilvl w:val="1"/>
          <w:numId w:val="18"/>
        </w:numPr>
        <w:jc w:val="both"/>
        <w:rPr>
          <w:vanish/>
        </w:rPr>
      </w:pPr>
    </w:p>
    <w:p w14:paraId="70526D19" w14:textId="77777777" w:rsidR="0095621A" w:rsidRPr="0095621A" w:rsidRDefault="0095621A" w:rsidP="00007DE4">
      <w:pPr>
        <w:pStyle w:val="ListParagraph"/>
        <w:numPr>
          <w:ilvl w:val="1"/>
          <w:numId w:val="18"/>
        </w:numPr>
        <w:jc w:val="both"/>
        <w:rPr>
          <w:vanish/>
        </w:rPr>
      </w:pPr>
    </w:p>
    <w:p w14:paraId="47875EFF" w14:textId="77777777" w:rsidR="0095621A" w:rsidRPr="0095621A" w:rsidRDefault="0095621A" w:rsidP="00007DE4">
      <w:pPr>
        <w:pStyle w:val="ListParagraph"/>
        <w:numPr>
          <w:ilvl w:val="1"/>
          <w:numId w:val="18"/>
        </w:numPr>
        <w:jc w:val="both"/>
        <w:rPr>
          <w:vanish/>
        </w:rPr>
      </w:pPr>
    </w:p>
    <w:p w14:paraId="06AB6A42" w14:textId="7E392E97" w:rsidR="001055CB" w:rsidRDefault="001055CB" w:rsidP="0095621A">
      <w:pPr>
        <w:pStyle w:val="ListParagraph"/>
        <w:ind w:left="1530"/>
        <w:jc w:val="both"/>
      </w:pPr>
    </w:p>
    <w:p w14:paraId="1ECF24B5" w14:textId="04AD6968" w:rsidR="0095621A" w:rsidRDefault="0095621A" w:rsidP="00007DE4">
      <w:pPr>
        <w:pStyle w:val="ListParagraph"/>
        <w:numPr>
          <w:ilvl w:val="2"/>
          <w:numId w:val="18"/>
        </w:numPr>
        <w:ind w:left="1440" w:hanging="630"/>
        <w:jc w:val="both"/>
      </w:pPr>
      <w:r>
        <w:t>The Proposal must be submitted electronically through IPRO POWERED BY LUMA.  The State will not accept Proposals in any other manner (i.e. facsimile, email, or hardcopy submissions).  All Offerors participating in this Solicitation must establish an account in the IPRO system, as it is necessary in order to process and/or award the resulting Contract(s). Establishing an account is free.</w:t>
      </w:r>
    </w:p>
    <w:p w14:paraId="1D3F98E5" w14:textId="77777777" w:rsidR="006B6278" w:rsidRDefault="006B6278" w:rsidP="006B6278">
      <w:pPr>
        <w:pStyle w:val="ListParagraph"/>
        <w:ind w:left="1440"/>
        <w:jc w:val="both"/>
      </w:pPr>
    </w:p>
    <w:p w14:paraId="23514951" w14:textId="3F6EA1D3" w:rsidR="006B6278" w:rsidRDefault="006B6278" w:rsidP="006B6278">
      <w:pPr>
        <w:pStyle w:val="ListParagraph"/>
        <w:ind w:left="1440"/>
        <w:jc w:val="both"/>
      </w:pPr>
      <w:r>
        <w:t xml:space="preserve">Link: </w:t>
      </w:r>
      <w:hyperlink r:id="rId13" w:history="1">
        <w:r>
          <w:rPr>
            <w:rStyle w:val="Hyperlink"/>
          </w:rPr>
          <w:t>IPRO POWERED BY LUMA</w:t>
        </w:r>
      </w:hyperlink>
    </w:p>
    <w:p w14:paraId="39E83BBA" w14:textId="77777777" w:rsidR="004541BE" w:rsidRDefault="004541BE" w:rsidP="001055CB">
      <w:pPr>
        <w:jc w:val="both"/>
      </w:pPr>
    </w:p>
    <w:p w14:paraId="3F4C6399" w14:textId="1BEFA41A" w:rsidR="004541BE" w:rsidRDefault="004541BE" w:rsidP="004541BE">
      <w:pPr>
        <w:ind w:left="1440"/>
        <w:jc w:val="both"/>
      </w:pPr>
      <w:r>
        <w:t>Please make sure that the entity profile under which the Proposal is submitted in IPRO, is the same legal entity presented in the uploaded response materials.  If there are any discrepancies, the entity information provided within Submittal Form A prevails.</w:t>
      </w:r>
    </w:p>
    <w:p w14:paraId="7CA5D1A0" w14:textId="77777777" w:rsidR="000B2441" w:rsidRDefault="000B2441" w:rsidP="000B2441">
      <w:pPr>
        <w:pStyle w:val="ListParagraph"/>
      </w:pPr>
    </w:p>
    <w:p w14:paraId="0FBE66E6" w14:textId="05963AB2" w:rsidR="001055CB" w:rsidRDefault="000B2441" w:rsidP="00007DE4">
      <w:pPr>
        <w:pStyle w:val="ListParagraph"/>
        <w:numPr>
          <w:ilvl w:val="2"/>
          <w:numId w:val="18"/>
        </w:numPr>
        <w:ind w:left="1440" w:hanging="630"/>
        <w:jc w:val="both"/>
      </w:pPr>
      <w:r>
        <w:t>The Proposal must be submitted in the following forms:</w:t>
      </w:r>
    </w:p>
    <w:tbl>
      <w:tblPr>
        <w:tblStyle w:val="TableGrid"/>
        <w:tblW w:w="9180" w:type="dxa"/>
        <w:tblInd w:w="1435" w:type="dxa"/>
        <w:tblLook w:val="04A0" w:firstRow="1" w:lastRow="0" w:firstColumn="1" w:lastColumn="0" w:noHBand="0" w:noVBand="1"/>
      </w:tblPr>
      <w:tblGrid>
        <w:gridCol w:w="964"/>
        <w:gridCol w:w="2546"/>
        <w:gridCol w:w="1917"/>
        <w:gridCol w:w="3753"/>
      </w:tblGrid>
      <w:tr w:rsidR="001055CB" w:rsidRPr="00395934" w14:paraId="642D02C6" w14:textId="77777777" w:rsidTr="001055CB">
        <w:tc>
          <w:tcPr>
            <w:tcW w:w="964" w:type="dxa"/>
            <w:shd w:val="clear" w:color="auto" w:fill="F2F2F2" w:themeFill="background1" w:themeFillShade="F2"/>
          </w:tcPr>
          <w:p w14:paraId="167E4998" w14:textId="5A4F4ABC" w:rsidR="001055CB" w:rsidRPr="00395934" w:rsidRDefault="00EA4AD7" w:rsidP="002C7643">
            <w:pPr>
              <w:jc w:val="center"/>
              <w:rPr>
                <w:b/>
                <w:bCs/>
              </w:rPr>
            </w:pPr>
            <w:r>
              <w:rPr>
                <w:b/>
                <w:bCs/>
              </w:rPr>
              <w:t>Forms</w:t>
            </w:r>
          </w:p>
        </w:tc>
        <w:tc>
          <w:tcPr>
            <w:tcW w:w="2546" w:type="dxa"/>
            <w:shd w:val="clear" w:color="auto" w:fill="F2F2F2" w:themeFill="background1" w:themeFillShade="F2"/>
          </w:tcPr>
          <w:p w14:paraId="05D9FD00" w14:textId="77777777" w:rsidR="001055CB" w:rsidRPr="00395934" w:rsidRDefault="001055CB" w:rsidP="002C7643">
            <w:pPr>
              <w:jc w:val="both"/>
              <w:rPr>
                <w:b/>
                <w:bCs/>
              </w:rPr>
            </w:pPr>
            <w:r>
              <w:rPr>
                <w:b/>
                <w:bCs/>
              </w:rPr>
              <w:t>Contents</w:t>
            </w:r>
          </w:p>
        </w:tc>
        <w:tc>
          <w:tcPr>
            <w:tcW w:w="1917" w:type="dxa"/>
            <w:shd w:val="clear" w:color="auto" w:fill="F2F2F2" w:themeFill="background1" w:themeFillShade="F2"/>
          </w:tcPr>
          <w:p w14:paraId="16CBA5FF" w14:textId="77777777" w:rsidR="001055CB" w:rsidRPr="00395934" w:rsidRDefault="001055CB" w:rsidP="002C7643">
            <w:pPr>
              <w:jc w:val="both"/>
              <w:rPr>
                <w:b/>
                <w:bCs/>
              </w:rPr>
            </w:pPr>
            <w:r>
              <w:rPr>
                <w:b/>
                <w:bCs/>
              </w:rPr>
              <w:t xml:space="preserve">File Format </w:t>
            </w:r>
          </w:p>
        </w:tc>
        <w:tc>
          <w:tcPr>
            <w:tcW w:w="3753" w:type="dxa"/>
            <w:shd w:val="clear" w:color="auto" w:fill="F2F2F2" w:themeFill="background1" w:themeFillShade="F2"/>
          </w:tcPr>
          <w:p w14:paraId="1DABD592" w14:textId="77777777" w:rsidR="001055CB" w:rsidRPr="00395934" w:rsidRDefault="001055CB" w:rsidP="002C7643">
            <w:pPr>
              <w:jc w:val="both"/>
              <w:rPr>
                <w:b/>
                <w:bCs/>
              </w:rPr>
            </w:pPr>
            <w:r>
              <w:rPr>
                <w:b/>
                <w:bCs/>
              </w:rPr>
              <w:t>File Naming Conventions</w:t>
            </w:r>
          </w:p>
        </w:tc>
      </w:tr>
      <w:tr w:rsidR="001055CB" w14:paraId="11B472A7" w14:textId="77777777" w:rsidTr="001055CB">
        <w:tc>
          <w:tcPr>
            <w:tcW w:w="964" w:type="dxa"/>
          </w:tcPr>
          <w:p w14:paraId="2DD063BC" w14:textId="77777777" w:rsidR="001055CB" w:rsidRDefault="001055CB" w:rsidP="002C7643">
            <w:pPr>
              <w:jc w:val="center"/>
            </w:pPr>
            <w:r>
              <w:t>1</w:t>
            </w:r>
          </w:p>
        </w:tc>
        <w:tc>
          <w:tcPr>
            <w:tcW w:w="2546" w:type="dxa"/>
          </w:tcPr>
          <w:p w14:paraId="2E8EFC2A" w14:textId="77777777" w:rsidR="001055CB" w:rsidRDefault="001055CB" w:rsidP="002C7643">
            <w:pPr>
              <w:jc w:val="both"/>
            </w:pPr>
            <w:r>
              <w:t>Submittal Form A</w:t>
            </w:r>
          </w:p>
        </w:tc>
        <w:tc>
          <w:tcPr>
            <w:tcW w:w="1917" w:type="dxa"/>
          </w:tcPr>
          <w:p w14:paraId="3E6C9B11" w14:textId="77777777" w:rsidR="001055CB" w:rsidRPr="00B46951" w:rsidRDefault="001055CB" w:rsidP="002C7643">
            <w:pPr>
              <w:jc w:val="both"/>
            </w:pPr>
            <w:r>
              <w:t>MS Word</w:t>
            </w:r>
          </w:p>
        </w:tc>
        <w:tc>
          <w:tcPr>
            <w:tcW w:w="3753" w:type="dxa"/>
          </w:tcPr>
          <w:p w14:paraId="6785C3C6" w14:textId="77777777" w:rsidR="001055CB" w:rsidRPr="00EA025A" w:rsidRDefault="001055CB" w:rsidP="002C7643">
            <w:pPr>
              <w:jc w:val="both"/>
              <w:rPr>
                <w:i/>
                <w:iCs/>
              </w:rPr>
            </w:pPr>
            <w:r>
              <w:rPr>
                <w:i/>
                <w:iCs/>
              </w:rPr>
              <w:t>Form A – Insert Offeror Name</w:t>
            </w:r>
          </w:p>
        </w:tc>
      </w:tr>
      <w:tr w:rsidR="001055CB" w14:paraId="5D00D410" w14:textId="77777777" w:rsidTr="001055CB">
        <w:tc>
          <w:tcPr>
            <w:tcW w:w="964" w:type="dxa"/>
          </w:tcPr>
          <w:p w14:paraId="529F1D79" w14:textId="77777777" w:rsidR="001055CB" w:rsidRDefault="001055CB" w:rsidP="002C7643">
            <w:pPr>
              <w:jc w:val="center"/>
            </w:pPr>
            <w:r>
              <w:t>2</w:t>
            </w:r>
          </w:p>
        </w:tc>
        <w:tc>
          <w:tcPr>
            <w:tcW w:w="2546" w:type="dxa"/>
          </w:tcPr>
          <w:p w14:paraId="3D3A9CA0" w14:textId="77777777" w:rsidR="001055CB" w:rsidRDefault="001055CB" w:rsidP="002C7643">
            <w:pPr>
              <w:jc w:val="both"/>
            </w:pPr>
            <w:r>
              <w:t>Submittal Form B</w:t>
            </w:r>
          </w:p>
        </w:tc>
        <w:tc>
          <w:tcPr>
            <w:tcW w:w="1917" w:type="dxa"/>
          </w:tcPr>
          <w:p w14:paraId="0C976EA9" w14:textId="4452F20C" w:rsidR="001055CB" w:rsidRPr="00B46951" w:rsidRDefault="0007079F" w:rsidP="002C7643">
            <w:pPr>
              <w:jc w:val="both"/>
              <w:rPr>
                <w:highlight w:val="cyan"/>
              </w:rPr>
            </w:pPr>
            <w:r>
              <w:t>MS Word/PDF</w:t>
            </w:r>
          </w:p>
        </w:tc>
        <w:tc>
          <w:tcPr>
            <w:tcW w:w="3753" w:type="dxa"/>
          </w:tcPr>
          <w:p w14:paraId="287CF647" w14:textId="77777777" w:rsidR="001055CB" w:rsidRPr="00EA025A" w:rsidRDefault="001055CB" w:rsidP="002C7643">
            <w:pPr>
              <w:jc w:val="both"/>
              <w:rPr>
                <w:i/>
                <w:iCs/>
              </w:rPr>
            </w:pPr>
            <w:r>
              <w:rPr>
                <w:i/>
                <w:iCs/>
              </w:rPr>
              <w:t>Form B – Insert Offeror Name</w:t>
            </w:r>
          </w:p>
        </w:tc>
      </w:tr>
      <w:tr w:rsidR="001055CB" w14:paraId="7235DC6E" w14:textId="77777777" w:rsidTr="001055CB">
        <w:tc>
          <w:tcPr>
            <w:tcW w:w="964" w:type="dxa"/>
          </w:tcPr>
          <w:p w14:paraId="03D45497" w14:textId="77777777" w:rsidR="001055CB" w:rsidRDefault="001055CB" w:rsidP="002C7643">
            <w:pPr>
              <w:jc w:val="center"/>
            </w:pPr>
            <w:r>
              <w:t>3</w:t>
            </w:r>
          </w:p>
        </w:tc>
        <w:tc>
          <w:tcPr>
            <w:tcW w:w="2546" w:type="dxa"/>
          </w:tcPr>
          <w:p w14:paraId="03BDD21E" w14:textId="77777777" w:rsidR="001055CB" w:rsidRDefault="001055CB" w:rsidP="002C7643">
            <w:pPr>
              <w:jc w:val="both"/>
            </w:pPr>
            <w:r>
              <w:t>Submittal Form C</w:t>
            </w:r>
          </w:p>
        </w:tc>
        <w:tc>
          <w:tcPr>
            <w:tcW w:w="1917" w:type="dxa"/>
          </w:tcPr>
          <w:p w14:paraId="24327149" w14:textId="09BB3E63" w:rsidR="001055CB" w:rsidRPr="00F8471E" w:rsidRDefault="0007079F" w:rsidP="002C7643">
            <w:pPr>
              <w:jc w:val="both"/>
            </w:pPr>
            <w:r>
              <w:t>MS Excel</w:t>
            </w:r>
          </w:p>
        </w:tc>
        <w:tc>
          <w:tcPr>
            <w:tcW w:w="3753" w:type="dxa"/>
          </w:tcPr>
          <w:p w14:paraId="3E30D3B0" w14:textId="77777777" w:rsidR="001055CB" w:rsidRDefault="001055CB" w:rsidP="002C7643">
            <w:pPr>
              <w:jc w:val="both"/>
              <w:rPr>
                <w:i/>
                <w:iCs/>
              </w:rPr>
            </w:pPr>
            <w:r>
              <w:rPr>
                <w:i/>
                <w:iCs/>
              </w:rPr>
              <w:t>Form C – Insert Offeror Name</w:t>
            </w:r>
          </w:p>
        </w:tc>
      </w:tr>
      <w:tr w:rsidR="001055CB" w14:paraId="116608AA" w14:textId="77777777" w:rsidTr="001055CB">
        <w:tc>
          <w:tcPr>
            <w:tcW w:w="964" w:type="dxa"/>
          </w:tcPr>
          <w:p w14:paraId="17564B78" w14:textId="77777777" w:rsidR="001055CB" w:rsidRDefault="001055CB" w:rsidP="002C7643">
            <w:pPr>
              <w:jc w:val="center"/>
            </w:pPr>
            <w:r>
              <w:t xml:space="preserve">4* </w:t>
            </w:r>
          </w:p>
        </w:tc>
        <w:tc>
          <w:tcPr>
            <w:tcW w:w="2546" w:type="dxa"/>
          </w:tcPr>
          <w:p w14:paraId="6499F676" w14:textId="77777777" w:rsidR="001055CB" w:rsidRDefault="001055CB" w:rsidP="002C7643">
            <w:pPr>
              <w:jc w:val="both"/>
            </w:pPr>
            <w:r>
              <w:t>Redacted Submittal Forms*</w:t>
            </w:r>
          </w:p>
        </w:tc>
        <w:tc>
          <w:tcPr>
            <w:tcW w:w="1917" w:type="dxa"/>
          </w:tcPr>
          <w:p w14:paraId="0190EBBB" w14:textId="77777777" w:rsidR="001055CB" w:rsidRDefault="001055CB" w:rsidP="002C7643">
            <w:pPr>
              <w:jc w:val="both"/>
            </w:pPr>
            <w:r>
              <w:t>PDF</w:t>
            </w:r>
          </w:p>
        </w:tc>
        <w:tc>
          <w:tcPr>
            <w:tcW w:w="3753" w:type="dxa"/>
          </w:tcPr>
          <w:p w14:paraId="2FB016C3" w14:textId="0C3E5320" w:rsidR="001055CB" w:rsidRDefault="001055CB" w:rsidP="002C7643">
            <w:pPr>
              <w:jc w:val="both"/>
              <w:rPr>
                <w:i/>
                <w:iCs/>
              </w:rPr>
            </w:pPr>
            <w:r>
              <w:rPr>
                <w:i/>
                <w:iCs/>
              </w:rPr>
              <w:t xml:space="preserve">File Name REDACTED – Insert </w:t>
            </w:r>
            <w:r>
              <w:rPr>
                <w:iCs/>
              </w:rPr>
              <w:t xml:space="preserve">Offeror Name </w:t>
            </w:r>
          </w:p>
        </w:tc>
      </w:tr>
    </w:tbl>
    <w:p w14:paraId="2D4385C2" w14:textId="3B9F9A05" w:rsidR="00A94683" w:rsidRPr="006B6278" w:rsidRDefault="006B6278" w:rsidP="006B6278">
      <w:pPr>
        <w:ind w:left="1440"/>
        <w:jc w:val="both"/>
        <w:rPr>
          <w:i/>
          <w:iCs/>
          <w:sz w:val="20"/>
          <w:szCs w:val="20"/>
        </w:rPr>
      </w:pPr>
      <w:r>
        <w:rPr>
          <w:i/>
          <w:iCs/>
          <w:sz w:val="20"/>
          <w:szCs w:val="20"/>
        </w:rPr>
        <w:t>* If applicable. Applies to Proposals with trade secrets as discussed below.</w:t>
      </w:r>
    </w:p>
    <w:p w14:paraId="7D16B69F" w14:textId="77777777" w:rsidR="006B6278" w:rsidRDefault="006B6278" w:rsidP="00A94683">
      <w:pPr>
        <w:jc w:val="both"/>
      </w:pPr>
    </w:p>
    <w:p w14:paraId="206C4C5F" w14:textId="77777777" w:rsidR="001055CB" w:rsidRDefault="00A94683" w:rsidP="00007DE4">
      <w:pPr>
        <w:pStyle w:val="ListParagraph"/>
        <w:numPr>
          <w:ilvl w:val="2"/>
          <w:numId w:val="18"/>
        </w:numPr>
        <w:ind w:left="1440" w:hanging="630"/>
        <w:jc w:val="both"/>
      </w:pPr>
      <w:r>
        <w:t xml:space="preserve">All electronic files must be in Adobe PDF, Microsoft Word, or Microsoft Excel format as noted in the table above.    </w:t>
      </w:r>
    </w:p>
    <w:p w14:paraId="75BAA11D" w14:textId="77777777" w:rsidR="001055CB" w:rsidRDefault="001055CB" w:rsidP="001055CB">
      <w:pPr>
        <w:jc w:val="both"/>
      </w:pPr>
    </w:p>
    <w:p w14:paraId="13C3D61D" w14:textId="278928B6" w:rsidR="001055CB" w:rsidRDefault="001055CB" w:rsidP="00007DE4">
      <w:pPr>
        <w:pStyle w:val="ListParagraph"/>
        <w:numPr>
          <w:ilvl w:val="2"/>
          <w:numId w:val="18"/>
        </w:numPr>
        <w:ind w:left="1440" w:hanging="630"/>
        <w:jc w:val="both"/>
      </w:pPr>
      <w:r>
        <w:t>The Proposal file(s) must not be password protected or locked in any way.</w:t>
      </w:r>
    </w:p>
    <w:p w14:paraId="5AF9E4AF" w14:textId="77777777" w:rsidR="001055CB" w:rsidRDefault="001055CB" w:rsidP="001055CB">
      <w:pPr>
        <w:jc w:val="both"/>
      </w:pPr>
    </w:p>
    <w:p w14:paraId="3FC6F8B9" w14:textId="77777777" w:rsidR="001055CB" w:rsidRDefault="001055CB" w:rsidP="00007DE4">
      <w:pPr>
        <w:pStyle w:val="ListParagraph"/>
        <w:numPr>
          <w:ilvl w:val="2"/>
          <w:numId w:val="18"/>
        </w:numPr>
        <w:ind w:left="1440" w:hanging="630"/>
        <w:jc w:val="both"/>
      </w:pPr>
      <w:r>
        <w:t>All submission materials must be submitted at the same time.  If multiple submissions are received, only the latest timely submission will be considered.</w:t>
      </w:r>
    </w:p>
    <w:p w14:paraId="4F40A14E" w14:textId="77777777" w:rsidR="001055CB" w:rsidRDefault="001055CB" w:rsidP="001055CB">
      <w:pPr>
        <w:pStyle w:val="ListParagraph"/>
      </w:pPr>
    </w:p>
    <w:p w14:paraId="7D790DD7" w14:textId="7A9A8066" w:rsidR="001055CB" w:rsidRDefault="001055CB" w:rsidP="00007DE4">
      <w:pPr>
        <w:pStyle w:val="ListParagraph"/>
        <w:numPr>
          <w:ilvl w:val="2"/>
          <w:numId w:val="18"/>
        </w:numPr>
        <w:ind w:left="1440" w:hanging="630"/>
        <w:jc w:val="both"/>
      </w:pPr>
      <w:r>
        <w:t>Alternate Proposals are not allowed.</w:t>
      </w:r>
    </w:p>
    <w:p w14:paraId="2814EF83" w14:textId="77777777" w:rsidR="001055CB" w:rsidRDefault="001055CB" w:rsidP="001055CB">
      <w:pPr>
        <w:jc w:val="both"/>
      </w:pPr>
    </w:p>
    <w:p w14:paraId="46CA3C5A" w14:textId="47318907" w:rsidR="006B1F4F" w:rsidRDefault="001055CB" w:rsidP="00007DE4">
      <w:pPr>
        <w:pStyle w:val="ListParagraph"/>
        <w:numPr>
          <w:ilvl w:val="2"/>
          <w:numId w:val="18"/>
        </w:numPr>
        <w:ind w:left="1440" w:hanging="630"/>
        <w:jc w:val="both"/>
      </w:pPr>
      <w:r>
        <w:t>Note: When submitting through IPRO, enter your Cost in IPRO as “$0.01”.</w:t>
      </w:r>
    </w:p>
    <w:p w14:paraId="690B0720" w14:textId="77777777" w:rsidR="006B6278" w:rsidRDefault="006B6278" w:rsidP="006B6278">
      <w:pPr>
        <w:pStyle w:val="ListParagraph"/>
      </w:pPr>
    </w:p>
    <w:p w14:paraId="2D7B2A1B" w14:textId="68D01FA2" w:rsidR="006B6278" w:rsidRDefault="006B6278" w:rsidP="00007DE4">
      <w:pPr>
        <w:pStyle w:val="ListParagraph"/>
        <w:numPr>
          <w:ilvl w:val="2"/>
          <w:numId w:val="18"/>
        </w:numPr>
        <w:ind w:left="1440" w:hanging="630"/>
        <w:jc w:val="both"/>
      </w:pPr>
      <w:r>
        <w:t>If your Proposal contains trade secrets (see Section 2.7), submit an additional redacted version. This submittal must have '</w:t>
      </w:r>
      <w:r>
        <w:rPr>
          <w:i/>
          <w:iCs/>
        </w:rPr>
        <w:t>Redacted</w:t>
      </w:r>
      <w:r>
        <w:t>' in the file name.</w:t>
      </w:r>
    </w:p>
    <w:p w14:paraId="7FD333E7" w14:textId="77777777" w:rsidR="006B6278" w:rsidRDefault="006B6278" w:rsidP="006B6278">
      <w:pPr>
        <w:jc w:val="both"/>
      </w:pPr>
    </w:p>
    <w:p w14:paraId="7216D668" w14:textId="4260AE9E" w:rsidR="006B1F4F" w:rsidRPr="00A5375C" w:rsidRDefault="006B1F4F" w:rsidP="006B1F4F">
      <w:pPr>
        <w:pStyle w:val="ListParagraph"/>
        <w:numPr>
          <w:ilvl w:val="0"/>
          <w:numId w:val="3"/>
        </w:numPr>
        <w:jc w:val="both"/>
        <w:rPr>
          <w:b/>
          <w:bCs/>
          <w:spacing w:val="20"/>
          <w:sz w:val="24"/>
          <w:szCs w:val="24"/>
        </w:rPr>
      </w:pPr>
      <w:r>
        <w:rPr>
          <w:b/>
          <w:bCs/>
          <w:spacing w:val="20"/>
          <w:sz w:val="24"/>
          <w:szCs w:val="24"/>
        </w:rPr>
        <w:t xml:space="preserve">Trade Secrets and Non-Public Information  </w:t>
      </w:r>
    </w:p>
    <w:p w14:paraId="1120C302" w14:textId="77777777" w:rsidR="001055CB" w:rsidRDefault="00823F27" w:rsidP="001055CB">
      <w:pPr>
        <w:ind w:left="720"/>
        <w:jc w:val="both"/>
      </w:pPr>
      <w:r>
        <w:t xml:space="preserve">The Idaho Public Records Act, Idaho Code title 74, chapter 1 (the “Act”) defines trade secrets to “include a formula, pattern, compilation, program, computer program, device, method, technique or process that derives economic value, actual or potential, from not being generally known to, and not being readily ascertainable by proper means by other persons and is subject to the efforts that are reasonable under the circumstances to maintain its secrecy.”  The Act also defines other records that may be exempt from public disclosure.  </w:t>
      </w:r>
    </w:p>
    <w:p w14:paraId="30E5CEA9" w14:textId="77777777" w:rsidR="001055CB" w:rsidRDefault="001055CB" w:rsidP="001055CB">
      <w:pPr>
        <w:ind w:left="720"/>
        <w:jc w:val="both"/>
      </w:pPr>
    </w:p>
    <w:p w14:paraId="46DB4B3A" w14:textId="7B36654A" w:rsidR="001055CB" w:rsidRDefault="001055CB" w:rsidP="00E42642">
      <w:pPr>
        <w:ind w:left="720"/>
        <w:jc w:val="both"/>
      </w:pPr>
      <w:r>
        <w:t>In addition to marking each page of the document with a trade secret or other exemption notation (as applicable; and as provided in Paragraph 28 of the Solicitation Instructions to Vendors), Offerors must also:</w:t>
      </w:r>
    </w:p>
    <w:p w14:paraId="5F11C257" w14:textId="77777777" w:rsidR="001055CB" w:rsidRPr="001055CB" w:rsidRDefault="001055CB" w:rsidP="00007DE4">
      <w:pPr>
        <w:pStyle w:val="ListParagraph"/>
        <w:numPr>
          <w:ilvl w:val="0"/>
          <w:numId w:val="14"/>
        </w:numPr>
        <w:jc w:val="both"/>
        <w:rPr>
          <w:vanish/>
        </w:rPr>
      </w:pPr>
    </w:p>
    <w:p w14:paraId="4BB02115" w14:textId="77777777" w:rsidR="001055CB" w:rsidRPr="001055CB" w:rsidRDefault="001055CB" w:rsidP="00007DE4">
      <w:pPr>
        <w:pStyle w:val="ListParagraph"/>
        <w:numPr>
          <w:ilvl w:val="0"/>
          <w:numId w:val="14"/>
        </w:numPr>
        <w:jc w:val="both"/>
        <w:rPr>
          <w:vanish/>
        </w:rPr>
      </w:pPr>
    </w:p>
    <w:p w14:paraId="67777658" w14:textId="77777777" w:rsidR="001055CB" w:rsidRPr="001055CB" w:rsidRDefault="001055CB" w:rsidP="00007DE4">
      <w:pPr>
        <w:pStyle w:val="ListParagraph"/>
        <w:numPr>
          <w:ilvl w:val="1"/>
          <w:numId w:val="14"/>
        </w:numPr>
        <w:jc w:val="both"/>
        <w:rPr>
          <w:vanish/>
        </w:rPr>
      </w:pPr>
    </w:p>
    <w:p w14:paraId="4F8980B1" w14:textId="77777777" w:rsidR="001055CB" w:rsidRPr="001055CB" w:rsidRDefault="001055CB" w:rsidP="00007DE4">
      <w:pPr>
        <w:pStyle w:val="ListParagraph"/>
        <w:numPr>
          <w:ilvl w:val="1"/>
          <w:numId w:val="14"/>
        </w:numPr>
        <w:jc w:val="both"/>
        <w:rPr>
          <w:vanish/>
        </w:rPr>
      </w:pPr>
    </w:p>
    <w:p w14:paraId="463B2094" w14:textId="77777777" w:rsidR="001055CB" w:rsidRPr="001055CB" w:rsidRDefault="001055CB" w:rsidP="00007DE4">
      <w:pPr>
        <w:pStyle w:val="ListParagraph"/>
        <w:numPr>
          <w:ilvl w:val="1"/>
          <w:numId w:val="14"/>
        </w:numPr>
        <w:jc w:val="both"/>
        <w:rPr>
          <w:vanish/>
        </w:rPr>
      </w:pPr>
    </w:p>
    <w:p w14:paraId="55D3ECE4" w14:textId="77777777" w:rsidR="001055CB" w:rsidRPr="001055CB" w:rsidRDefault="001055CB" w:rsidP="00007DE4">
      <w:pPr>
        <w:pStyle w:val="ListParagraph"/>
        <w:numPr>
          <w:ilvl w:val="1"/>
          <w:numId w:val="14"/>
        </w:numPr>
        <w:jc w:val="both"/>
        <w:rPr>
          <w:vanish/>
        </w:rPr>
      </w:pPr>
    </w:p>
    <w:p w14:paraId="65F40971" w14:textId="77777777" w:rsidR="001055CB" w:rsidRPr="001055CB" w:rsidRDefault="001055CB" w:rsidP="00007DE4">
      <w:pPr>
        <w:pStyle w:val="ListParagraph"/>
        <w:numPr>
          <w:ilvl w:val="1"/>
          <w:numId w:val="14"/>
        </w:numPr>
        <w:jc w:val="both"/>
        <w:rPr>
          <w:vanish/>
        </w:rPr>
      </w:pPr>
    </w:p>
    <w:p w14:paraId="51A85634" w14:textId="77777777" w:rsidR="001055CB" w:rsidRPr="001055CB" w:rsidRDefault="001055CB" w:rsidP="00007DE4">
      <w:pPr>
        <w:pStyle w:val="ListParagraph"/>
        <w:numPr>
          <w:ilvl w:val="1"/>
          <w:numId w:val="14"/>
        </w:numPr>
        <w:jc w:val="both"/>
        <w:rPr>
          <w:vanish/>
        </w:rPr>
      </w:pPr>
    </w:p>
    <w:p w14:paraId="109E7220" w14:textId="77777777" w:rsidR="001055CB" w:rsidRPr="001055CB" w:rsidRDefault="001055CB" w:rsidP="00007DE4">
      <w:pPr>
        <w:pStyle w:val="ListParagraph"/>
        <w:numPr>
          <w:ilvl w:val="1"/>
          <w:numId w:val="14"/>
        </w:numPr>
        <w:jc w:val="both"/>
        <w:rPr>
          <w:vanish/>
        </w:rPr>
      </w:pPr>
    </w:p>
    <w:p w14:paraId="4AB3A78A" w14:textId="77777777" w:rsidR="00E42642" w:rsidRDefault="00E42642" w:rsidP="00E42642">
      <w:pPr>
        <w:jc w:val="both"/>
      </w:pPr>
    </w:p>
    <w:p w14:paraId="65E1CCC1" w14:textId="61749CD4" w:rsidR="001055CB" w:rsidRDefault="001055CB" w:rsidP="00007DE4">
      <w:pPr>
        <w:pStyle w:val="ListParagraph"/>
        <w:numPr>
          <w:ilvl w:val="2"/>
          <w:numId w:val="14"/>
        </w:numPr>
        <w:ind w:left="1350" w:hanging="630"/>
        <w:jc w:val="both"/>
      </w:pPr>
      <w:r>
        <w:t>Identify with particularity the precise text, illustration, or other information contained within each page marked “trade secret” or “exempt from disclosure” (it is not sufficient to simply mark the entire page).  The specific information you deem “trade secret” or “exempt” within each noted page must be highlighted, italicized, identified by asterisks, contained within a text border, or otherwise clearly delineated from other text/information and specifically identified as a “trade secret” or “exempt from disclosure.”</w:t>
      </w:r>
    </w:p>
    <w:p w14:paraId="2278FC67" w14:textId="77777777" w:rsidR="001055CB" w:rsidRDefault="001055CB" w:rsidP="001055CB">
      <w:pPr>
        <w:jc w:val="both"/>
      </w:pPr>
    </w:p>
    <w:p w14:paraId="1677D1AA" w14:textId="5F025C04" w:rsidR="001055CB" w:rsidRDefault="001055CB" w:rsidP="00007DE4">
      <w:pPr>
        <w:pStyle w:val="ListParagraph"/>
        <w:numPr>
          <w:ilvl w:val="2"/>
          <w:numId w:val="14"/>
        </w:numPr>
        <w:ind w:left="1350" w:hanging="630"/>
        <w:jc w:val="both"/>
      </w:pPr>
      <w:r>
        <w:t>Provide a separate document entitled “List of Redacted Trade Secret and Exempt Information” which provides a succinct list of all trade secret and exempt information noted in your Proposal; listed in the order it appears in your submittal documents, identified by Page #, Section #/Paragraph #, Title of Section/Paragraph, specific portions of text/illustrations; or in a manner otherwise sufficient to allow the State’s procurement personnel to determine the precise text/material subject to the notation.  Additionally, this list must identify with each notation the specific basis for your position that the material be treated as exempt from disclosure and how the exempting the material complies with the Act.</w:t>
      </w:r>
    </w:p>
    <w:p w14:paraId="0DB31CDC" w14:textId="77777777" w:rsidR="001055CB" w:rsidRDefault="001055CB" w:rsidP="001055CB">
      <w:pPr>
        <w:pStyle w:val="ListParagraph"/>
      </w:pPr>
    </w:p>
    <w:p w14:paraId="2B66DCF2" w14:textId="4FDFD512" w:rsidR="001055CB" w:rsidRDefault="001055CB" w:rsidP="00007DE4">
      <w:pPr>
        <w:pStyle w:val="ListParagraph"/>
        <w:numPr>
          <w:ilvl w:val="2"/>
          <w:numId w:val="14"/>
        </w:numPr>
        <w:ind w:left="1350" w:hanging="630"/>
        <w:jc w:val="both"/>
      </w:pPr>
      <w:r>
        <w:t>Submit a redacted copy of any Proposal response document (e.g. Scope of Work Response) with all trade secret and exempt information removed or blacked out. The redacted copy must be submitted electronically in the Supplier Attachments section of IPRO, with the word “redacted” in the file name.</w:t>
      </w:r>
    </w:p>
    <w:p w14:paraId="18C361A1" w14:textId="2436EC29" w:rsidR="00823F27" w:rsidRDefault="00823F27" w:rsidP="001055CB">
      <w:pPr>
        <w:ind w:left="720"/>
        <w:jc w:val="both"/>
      </w:pPr>
    </w:p>
    <w:p w14:paraId="7FBA5073" w14:textId="77777777" w:rsidR="00823F27" w:rsidRDefault="00823F27" w:rsidP="000B2441">
      <w:pPr>
        <w:ind w:left="720"/>
        <w:jc w:val="both"/>
      </w:pPr>
    </w:p>
    <w:p w14:paraId="75E74958" w14:textId="77777777" w:rsidR="00823F27" w:rsidRDefault="00823F27" w:rsidP="000B2441">
      <w:pPr>
        <w:ind w:left="720"/>
        <w:jc w:val="both"/>
      </w:pPr>
    </w:p>
    <w:p w14:paraId="20E0CE8F" w14:textId="77777777" w:rsidR="00823F27" w:rsidRDefault="00823F27" w:rsidP="000B2441">
      <w:pPr>
        <w:ind w:left="720"/>
        <w:jc w:val="both"/>
      </w:pPr>
    </w:p>
    <w:p w14:paraId="6BCC6EEC" w14:textId="77777777" w:rsidR="00E66576" w:rsidRDefault="00E66576">
      <w:pPr>
        <w:rPr>
          <w:rFonts w:cstheme="minorHAnsi"/>
          <w:b/>
          <w:bCs/>
          <w:spacing w:val="20"/>
          <w:sz w:val="40"/>
          <w:szCs w:val="36"/>
        </w:rPr>
      </w:pPr>
      <w:r>
        <w:rPr>
          <w:rFonts w:cstheme="minorHAnsi"/>
          <w:b/>
          <w:bCs/>
          <w:spacing w:val="20"/>
          <w:sz w:val="40"/>
          <w:szCs w:val="36"/>
        </w:rPr>
        <w:br w:type="page"/>
      </w:r>
    </w:p>
    <w:p w14:paraId="1FCF9E28" w14:textId="1CFB327C" w:rsidR="00A5375C" w:rsidRPr="008B4867" w:rsidRDefault="00A5375C" w:rsidP="00A5375C">
      <w:pPr>
        <w:jc w:val="both"/>
        <w:rPr>
          <w:rFonts w:cstheme="minorHAnsi"/>
          <w:color w:val="0070C0"/>
          <w:spacing w:val="20"/>
          <w:sz w:val="48"/>
          <w:szCs w:val="44"/>
        </w:rPr>
      </w:pPr>
      <w:r>
        <w:rPr>
          <w:rFonts w:cstheme="minorHAnsi"/>
          <w:color w:val="0070C0"/>
          <w:spacing w:val="20"/>
          <w:sz w:val="48"/>
          <w:szCs w:val="44"/>
        </w:rPr>
        <w:lastRenderedPageBreak/>
        <w:t xml:space="preserve">Section 3 </w:t>
      </w:r>
    </w:p>
    <w:p w14:paraId="7AF31A1A" w14:textId="5CEA6EB8" w:rsidR="00A5375C" w:rsidRPr="008B4867" w:rsidRDefault="00A5375C" w:rsidP="008B4867">
      <w:pPr>
        <w:shd w:val="clear" w:color="auto" w:fill="0070C0"/>
        <w:jc w:val="both"/>
        <w:rPr>
          <w:rFonts w:cstheme="minorHAnsi"/>
          <w:color w:val="FFFFFF" w:themeColor="background1"/>
          <w:spacing w:val="20"/>
          <w:sz w:val="36"/>
          <w:szCs w:val="32"/>
        </w:rPr>
      </w:pPr>
      <w:r>
        <w:rPr>
          <w:rFonts w:cstheme="minorHAnsi"/>
          <w:color w:val="FFFFFF" w:themeColor="background1"/>
          <w:spacing w:val="20"/>
          <w:sz w:val="36"/>
          <w:szCs w:val="32"/>
        </w:rPr>
        <w:t>Proposal Contents</w:t>
      </w:r>
    </w:p>
    <w:p w14:paraId="5A9D7588" w14:textId="77777777" w:rsidR="00A5375C" w:rsidRDefault="00A5375C" w:rsidP="00A5375C">
      <w:pPr>
        <w:jc w:val="both"/>
      </w:pPr>
    </w:p>
    <w:p w14:paraId="65B2C90E" w14:textId="05FCD9F4" w:rsidR="00A5375C" w:rsidRPr="00A5375C" w:rsidRDefault="00F3133D" w:rsidP="00A5375C">
      <w:pPr>
        <w:pStyle w:val="ListParagraph"/>
        <w:numPr>
          <w:ilvl w:val="0"/>
          <w:numId w:val="4"/>
        </w:numPr>
        <w:jc w:val="both"/>
        <w:rPr>
          <w:b/>
          <w:bCs/>
          <w:spacing w:val="20"/>
          <w:sz w:val="24"/>
          <w:szCs w:val="24"/>
        </w:rPr>
      </w:pPr>
      <w:r>
        <w:rPr>
          <w:b/>
          <w:bCs/>
          <w:spacing w:val="20"/>
          <w:sz w:val="24"/>
          <w:szCs w:val="24"/>
        </w:rPr>
        <w:t>Background, Declarations, and Certifications (Submittal Form A)</w:t>
      </w:r>
    </w:p>
    <w:p w14:paraId="2399D16B" w14:textId="1605D05A" w:rsidR="00F3133D" w:rsidRDefault="00F3133D" w:rsidP="00F3133D">
      <w:pPr>
        <w:ind w:left="720"/>
        <w:jc w:val="both"/>
      </w:pPr>
      <w:r>
        <w:t>The Offeror must complete and submit all information requested in this Submittal Form. An Offerors failure to complete and submit Submittal Form A may be found non-responsive and given no further consideration.</w:t>
      </w:r>
    </w:p>
    <w:p w14:paraId="304A6A52" w14:textId="77777777" w:rsidR="00F3133D" w:rsidRDefault="00F3133D" w:rsidP="00F3133D">
      <w:pPr>
        <w:ind w:left="720"/>
        <w:jc w:val="both"/>
      </w:pPr>
    </w:p>
    <w:p w14:paraId="3EB86CEB" w14:textId="76336C82" w:rsidR="00F3133D" w:rsidRDefault="00BB6BE4" w:rsidP="00F3133D">
      <w:pPr>
        <w:pStyle w:val="ListParagraph"/>
        <w:numPr>
          <w:ilvl w:val="0"/>
          <w:numId w:val="4"/>
        </w:numPr>
        <w:jc w:val="both"/>
      </w:pPr>
      <w:r>
        <w:rPr>
          <w:b/>
          <w:bCs/>
          <w:spacing w:val="20"/>
          <w:sz w:val="24"/>
          <w:szCs w:val="24"/>
        </w:rPr>
        <w:t xml:space="preserve">Technical Proposal (Submittal Form B) </w:t>
      </w:r>
    </w:p>
    <w:p w14:paraId="0DC0B2B3" w14:textId="6D2C1237" w:rsidR="00C709A2" w:rsidRDefault="006B6278" w:rsidP="00F3133D">
      <w:pPr>
        <w:ind w:left="720"/>
        <w:jc w:val="both"/>
      </w:pPr>
      <w:r>
        <w:t>The Offeror must complete and submit all information requested in Submittal Form B.  An Offerors failure to complete and submit Submittal Form B may be found non-responsive and given no further consideration. The Technical Proposal consists of four (4) parts, as described below:</w:t>
      </w:r>
    </w:p>
    <w:p w14:paraId="3329E124" w14:textId="77777777" w:rsidR="00C709A2" w:rsidRDefault="00C709A2" w:rsidP="00F3133D">
      <w:pPr>
        <w:ind w:left="720"/>
        <w:jc w:val="both"/>
      </w:pPr>
    </w:p>
    <w:p w14:paraId="1EA14CD2" w14:textId="265DF30B" w:rsidR="002C4724" w:rsidRDefault="002C4724" w:rsidP="00007DE4">
      <w:pPr>
        <w:pStyle w:val="ListParagraph"/>
        <w:numPr>
          <w:ilvl w:val="2"/>
          <w:numId w:val="19"/>
        </w:numPr>
        <w:jc w:val="both"/>
      </w:pPr>
      <w:r>
        <w:rPr>
          <w:b/>
          <w:bCs/>
        </w:rPr>
        <w:t>Part 1 - Qualifications and Experience:</w:t>
      </w:r>
      <w:r>
        <w:t xml:space="preserve"> The Offeror must summarize their experience and qualifications as it relates to the scope of work being requested in this RFP.  The Offeror must also outline the experience and qualification of the key personnel that will be assigned to this Contract.  The Offeror must highlight any unique attributes that make the team especially qualified for the scope of services.   If specifically asked for in this RFP please provide your resumes, otherwise resumes are not required, and should not be provided.</w:t>
      </w:r>
    </w:p>
    <w:p w14:paraId="2D0CD1E2" w14:textId="77777777" w:rsidR="002C4724" w:rsidRDefault="002C4724" w:rsidP="002C4724">
      <w:pPr>
        <w:pStyle w:val="ListParagraph"/>
        <w:ind w:left="1440"/>
        <w:jc w:val="both"/>
      </w:pPr>
    </w:p>
    <w:p w14:paraId="5FDC8A6A" w14:textId="127FFA30" w:rsidR="002C4724" w:rsidRDefault="002C4724" w:rsidP="00007DE4">
      <w:pPr>
        <w:pStyle w:val="ListParagraph"/>
        <w:numPr>
          <w:ilvl w:val="2"/>
          <w:numId w:val="19"/>
        </w:numPr>
      </w:pPr>
      <w:r>
        <w:rPr>
          <w:b/>
          <w:bCs/>
        </w:rPr>
        <w:t>Part 2 - Approach</w:t>
      </w:r>
      <w:r>
        <w:t>: The Offeror must provide a brief overview of the approach that will be taken to successfully deliver this project/service.  This must include a brief roadmap, which describes the general approach (major activities or tasks), which will be utilized to successfully deliver the Project/Service and to meet the Agency’s expectations (cost, time, quality, etc.).  This must also include a high-level schedule of major activities or tasks that will be performed. Part 2 describes the Offeror's general methodology and approach. Specific staffing commitments, FTE allocations, and configuration-specific cost basis tied to Submittal Form C are addressed separately in Part 4.</w:t>
      </w:r>
    </w:p>
    <w:p w14:paraId="2AB6F101" w14:textId="77777777" w:rsidR="002C4724" w:rsidRDefault="002C4724" w:rsidP="002C4724">
      <w:pPr>
        <w:pStyle w:val="ListParagraph"/>
        <w:ind w:left="1440"/>
        <w:jc w:val="both"/>
      </w:pPr>
    </w:p>
    <w:p w14:paraId="47488DCD" w14:textId="7D41B560" w:rsidR="002C4724" w:rsidRDefault="002C4724" w:rsidP="00007DE4">
      <w:pPr>
        <w:pStyle w:val="ListParagraph"/>
        <w:numPr>
          <w:ilvl w:val="2"/>
          <w:numId w:val="19"/>
        </w:numPr>
        <w:jc w:val="both"/>
      </w:pPr>
      <w:r>
        <w:rPr>
          <w:b/>
          <w:bCs/>
        </w:rPr>
        <w:t>Part 3 - Obstacles, Challenges, &amp; Risks</w:t>
      </w:r>
      <w:r>
        <w:t>: The Offeror must identify and address issues, concerns, challenges, obstacles, or risks that may impact the successful delivery of this project or service.  This includes areas that may cause the project to not be completed on time, not finished within budget, generate any change orders, or may be a source of dissatisfaction for the Agency.  The Offeror must rely on and use their past experience and knowledge of completing similar projects to identify these potential risks, issues, or challenges.</w:t>
      </w:r>
    </w:p>
    <w:p w14:paraId="4574D487" w14:textId="77777777" w:rsidR="002C4724" w:rsidRDefault="002C4724" w:rsidP="002C4724">
      <w:pPr>
        <w:pStyle w:val="ListParagraph"/>
        <w:ind w:left="1440"/>
        <w:jc w:val="both"/>
      </w:pPr>
    </w:p>
    <w:p w14:paraId="2E0A1DD4" w14:textId="77777777" w:rsidR="002C4724" w:rsidRDefault="002C4724" w:rsidP="002C4724">
      <w:pPr>
        <w:pStyle w:val="ListParagraph"/>
        <w:ind w:left="1440"/>
        <w:jc w:val="both"/>
      </w:pPr>
      <w:r>
        <w:t xml:space="preserve">Each item should  contain enough information to describe to a reader why the item is a valid risk/concern.  The Offeror should also explain how it will avoid or minimize the risks from occurring.   The Offeror should consider: </w:t>
      </w:r>
    </w:p>
    <w:p w14:paraId="13AE930F" w14:textId="55271F3D" w:rsidR="00182DDD" w:rsidRDefault="00182DDD" w:rsidP="002C4724">
      <w:pPr>
        <w:pStyle w:val="ListParagraph"/>
        <w:ind w:left="1440"/>
        <w:jc w:val="both"/>
      </w:pPr>
    </w:p>
    <w:p w14:paraId="3A0785BC" w14:textId="725583E8" w:rsidR="00E42642" w:rsidRDefault="00182DDD" w:rsidP="00007DE4">
      <w:pPr>
        <w:pStyle w:val="ListParagraph"/>
        <w:numPr>
          <w:ilvl w:val="3"/>
          <w:numId w:val="19"/>
        </w:numPr>
      </w:pPr>
      <w:r>
        <w:rPr>
          <w:b/>
          <w:bCs/>
        </w:rPr>
        <w:t>Controllable</w:t>
      </w:r>
      <w:r>
        <w:t xml:space="preserve"> </w:t>
      </w:r>
      <w:r>
        <w:rPr>
          <w:b/>
          <w:bCs/>
        </w:rPr>
        <w:t>Items</w:t>
      </w:r>
      <w:r>
        <w:t>: This includes risks, activities, or tasks that are controllable by the Offeror, or by entities/individuals that are contracted to by the Offeror. This includes things that are part of the technical scope of what the Offeror is being hired to do.  This may also include risks that have already been minimized before the project begins due to the Offeror’s expertise (i.e. risks that are no longer risks due to the Offeror’s expertise in delivering this type of project). All controllable risks and strategies to mitigate them MUST be included in the Offeror’s base Proposal cost and schedule (if there are any impacts at all).</w:t>
      </w:r>
    </w:p>
    <w:p w14:paraId="2F5A9B71" w14:textId="77777777" w:rsidR="00E42642" w:rsidRDefault="00E42642" w:rsidP="00E42642">
      <w:pPr>
        <w:pStyle w:val="ListParagraph"/>
        <w:ind w:left="1800"/>
      </w:pPr>
    </w:p>
    <w:p w14:paraId="7F7B1D1D" w14:textId="28080299" w:rsidR="002C4724" w:rsidRDefault="00E42642" w:rsidP="00007DE4">
      <w:pPr>
        <w:pStyle w:val="ListParagraph"/>
        <w:numPr>
          <w:ilvl w:val="3"/>
          <w:numId w:val="19"/>
        </w:numPr>
      </w:pPr>
      <w:r>
        <w:rPr>
          <w:b/>
          <w:bCs/>
        </w:rPr>
        <w:t>Non-Controllable Items</w:t>
      </w:r>
      <w:r>
        <w:t xml:space="preserve">: This </w:t>
      </w:r>
      <w:bookmarkStart w:id="0" w:name="_Hlk198289985"/>
      <w:r>
        <w:t xml:space="preserve">includes risks, activities, or tasks that are not controllable by the Offeror.  This may include risks, issues, challenges, or obstacles attributed by the Agency, Agency personnel, parties hired by Agency, risks that are caused by other agencies, or completely uncontrollable risks.  These can also be areas/risks that can contribute to contingency.  Although these risks may not be controlled by the Offeror, the Offeror must identify a strategy that can be </w:t>
      </w:r>
      <w:r>
        <w:lastRenderedPageBreak/>
        <w:t>followed or used to mitigate these risks.  All non-controllable risks and strategies to mitigate them must not be included in the Offeror’s base Proposal cost or schedule.</w:t>
      </w:r>
    </w:p>
    <w:p w14:paraId="3118D946" w14:textId="77777777" w:rsidR="002C4724" w:rsidRDefault="002C4724" w:rsidP="002C4724">
      <w:pPr>
        <w:pStyle w:val="ListParagraph"/>
        <w:ind w:left="1800"/>
      </w:pPr>
      <w:r>
        <w:t xml:space="preserve">Provide a brief description of each item (background of how the concern/issue may impact the project or service if it occurs), and a strategy to prevent/minimize the issue/concern from occurring, or strategy to minimize the impact of the risk if it does occur.  </w:t>
      </w:r>
      <w:r>
        <w:tab/>
      </w:r>
    </w:p>
    <w:p w14:paraId="1E7F016A" w14:textId="21541019" w:rsidR="00E42642" w:rsidRDefault="00E42642" w:rsidP="002C4724">
      <w:pPr>
        <w:pStyle w:val="ListParagraph"/>
        <w:ind w:left="1800"/>
      </w:pPr>
    </w:p>
    <w:p w14:paraId="096602CC" w14:textId="4E07B922" w:rsidR="00E42642" w:rsidRPr="00540BC8" w:rsidRDefault="00FB3118" w:rsidP="00007DE4">
      <w:pPr>
        <w:pStyle w:val="ListParagraph"/>
        <w:numPr>
          <w:ilvl w:val="2"/>
          <w:numId w:val="19"/>
        </w:numPr>
        <w:jc w:val="both"/>
      </w:pPr>
      <w:r>
        <w:rPr>
          <w:b/>
          <w:bCs/>
        </w:rPr>
        <w:t>Part 4 - Scenario:</w:t>
      </w:r>
      <w:r>
        <w:t xml:space="preserve"> The Offeror must respond to the scenario provided in Submittal Form B by demonstrating the specific application of their approach to the current operational configuration. Part 4 addresses configuration-specific commitments (staffing model, FTE allocations, direct cost basis, and operational specifics) that tie directly to the Cost Proposal in Submittal Form C (Sections 1–5). Methodology and general approach described in Part 2 should not be repeated in Part 4. The corresponding cost calculation is submitted via Submittal Form C.</w:t>
      </w:r>
    </w:p>
    <w:bookmarkEnd w:id="0"/>
    <w:p w14:paraId="44580EB4" w14:textId="298603EF" w:rsidR="00FA54C5" w:rsidRDefault="00FA54C5" w:rsidP="00C35847">
      <w:pPr>
        <w:pStyle w:val="ListParagraph"/>
        <w:ind w:left="1800"/>
        <w:jc w:val="both"/>
      </w:pPr>
    </w:p>
    <w:p w14:paraId="16D0D6DB" w14:textId="2C31202F" w:rsidR="00182DDD" w:rsidRDefault="0077085F" w:rsidP="00182DDD">
      <w:pPr>
        <w:pStyle w:val="ListParagraph"/>
        <w:numPr>
          <w:ilvl w:val="0"/>
          <w:numId w:val="4"/>
        </w:numPr>
        <w:jc w:val="both"/>
      </w:pPr>
      <w:r>
        <w:rPr>
          <w:b/>
          <w:bCs/>
          <w:spacing w:val="20"/>
          <w:sz w:val="24"/>
          <w:szCs w:val="24"/>
        </w:rPr>
        <w:t xml:space="preserve">Cost Proposal (Submittal Form C) </w:t>
      </w:r>
    </w:p>
    <w:p w14:paraId="39C00B0A" w14:textId="19562445" w:rsidR="00562A8A" w:rsidRDefault="00F3133D" w:rsidP="00F3133D">
      <w:pPr>
        <w:ind w:left="720"/>
        <w:jc w:val="both"/>
      </w:pPr>
      <w:r>
        <w:t>The Offeror must complete and submit all information requested in Submittal Form C. Submittal Form C is organized around the federal SCSEP cost categories used for USDOL reporting and consists of five sections:</w:t>
      </w:r>
    </w:p>
    <w:p w14:paraId="592117A7" w14:textId="77777777" w:rsidR="00562A8A" w:rsidRDefault="00562A8A" w:rsidP="00F3133D">
      <w:pPr>
        <w:ind w:left="720"/>
        <w:jc w:val="both"/>
      </w:pPr>
    </w:p>
    <w:p w14:paraId="0F03B8AF" w14:textId="77777777" w:rsidR="0007079F" w:rsidRPr="0007079F" w:rsidRDefault="0007079F" w:rsidP="00007DE4">
      <w:pPr>
        <w:pStyle w:val="ListParagraph"/>
        <w:numPr>
          <w:ilvl w:val="1"/>
          <w:numId w:val="19"/>
        </w:numPr>
        <w:jc w:val="both"/>
        <w:rPr>
          <w:vanish/>
        </w:rPr>
      </w:pPr>
    </w:p>
    <w:p w14:paraId="73344337" w14:textId="18BA3985" w:rsidR="00562A8A" w:rsidRDefault="00562A8A" w:rsidP="00007DE4">
      <w:pPr>
        <w:pStyle w:val="ListParagraph"/>
        <w:numPr>
          <w:ilvl w:val="2"/>
          <w:numId w:val="19"/>
        </w:numPr>
        <w:jc w:val="both"/>
      </w:pPr>
      <w:r>
        <w:t>Section 1 — Staffing, which captures all personnel costs, classified as Administration (1A) or Other Enrollee (1B) per 20 CFR Part 641. For each named position the Offeror enters the FTE committed to this Contract and the Full-Time Annual Salary (loaded with fringe); Loaded Annual Cost is calculated automatically as Salary × FTE;</w:t>
      </w:r>
    </w:p>
    <w:p w14:paraId="0035BBB7" w14:textId="77777777" w:rsidR="0007079F" w:rsidRDefault="0007079F" w:rsidP="0007079F">
      <w:pPr>
        <w:pStyle w:val="ListParagraph"/>
        <w:ind w:left="1440"/>
        <w:jc w:val="both"/>
      </w:pPr>
    </w:p>
    <w:p w14:paraId="097459C6" w14:textId="3B3D5D9C" w:rsidR="00562A8A" w:rsidRDefault="00562A8A" w:rsidP="00007DE4">
      <w:pPr>
        <w:pStyle w:val="ListParagraph"/>
        <w:numPr>
          <w:ilvl w:val="2"/>
          <w:numId w:val="19"/>
        </w:numPr>
        <w:jc w:val="both"/>
      </w:pPr>
      <w:r>
        <w:t>Section 2 — Operating, which captures non-personnel costs, classified as Administration (2A: Travel; Supplies; Equipment; Other) and Other Enrollee (2B: Travel; Supplies; Equipment; Support Services; Training &amp; Education);</w:t>
      </w:r>
    </w:p>
    <w:p w14:paraId="478C5F74" w14:textId="77777777" w:rsidR="0007079F" w:rsidRDefault="0007079F" w:rsidP="0007079F">
      <w:pPr>
        <w:jc w:val="both"/>
      </w:pPr>
    </w:p>
    <w:p w14:paraId="0F98FB92" w14:textId="77777777" w:rsidR="00D2139B" w:rsidRDefault="00562A8A" w:rsidP="00D2139B">
      <w:pPr>
        <w:pStyle w:val="ListParagraph"/>
        <w:numPr>
          <w:ilvl w:val="2"/>
          <w:numId w:val="19"/>
        </w:numPr>
        <w:jc w:val="both"/>
      </w:pPr>
      <w:r>
        <w:t>Section 3 — Calculated Administrative Rate, computed as Total Administration Costs (1A + 2A) divided by the Total Annual Operating Cost; the federal Administrative cost cap allocated to the Contractor is nine percent (9%) of the total federal grant;</w:t>
      </w:r>
    </w:p>
    <w:p w14:paraId="7AF7C949" w14:textId="77777777" w:rsidR="00D2139B" w:rsidRDefault="00D2139B" w:rsidP="00D2139B">
      <w:pPr>
        <w:pStyle w:val="ListParagraph"/>
      </w:pPr>
    </w:p>
    <w:p w14:paraId="6C1C2077" w14:textId="0A695539" w:rsidR="00D2139B" w:rsidRDefault="00562A8A" w:rsidP="00D2139B">
      <w:pPr>
        <w:pStyle w:val="ListParagraph"/>
        <w:numPr>
          <w:ilvl w:val="2"/>
          <w:numId w:val="19"/>
        </w:numPr>
        <w:jc w:val="both"/>
      </w:pPr>
      <w:r>
        <w:t>Section 4 — Local Match Commitment, which documents the required non-federal match of at least ten percent (10%) of total program costs (i.e., the federal share divided by 0.90, less the federal share) (compliance only; not scored); and</w:t>
      </w:r>
    </w:p>
    <w:p w14:paraId="0E165777" w14:textId="77777777" w:rsidR="00D2139B" w:rsidRDefault="00D2139B" w:rsidP="00D2139B">
      <w:pPr>
        <w:pStyle w:val="ListParagraph"/>
      </w:pPr>
    </w:p>
    <w:p w14:paraId="5A4F0042" w14:textId="6E41C47F" w:rsidR="00562A8A" w:rsidRDefault="00562A8A" w:rsidP="00D2139B">
      <w:pPr>
        <w:pStyle w:val="ListParagraph"/>
        <w:numPr>
          <w:ilvl w:val="2"/>
          <w:numId w:val="19"/>
        </w:numPr>
        <w:jc w:val="both"/>
      </w:pPr>
      <w:r>
        <w:t>Section 5 — Total Annual Operating Cost, calculated as the sum of Section 1 (Staffing) and Section 2 (Operating). Participant wages, fringe benefits, and workers’ compensation are not entered on Form C; per federal requirements those costs are fixed at seventy-five percent (75%) of the total grant award and are paid from the Enrollee category of the federal grant.</w:t>
      </w:r>
    </w:p>
    <w:p w14:paraId="3D4C5C80" w14:textId="77777777" w:rsidR="00395F5B" w:rsidRDefault="00395F5B" w:rsidP="00395F5B">
      <w:pPr>
        <w:pStyle w:val="ListParagraph"/>
      </w:pPr>
    </w:p>
    <w:p w14:paraId="18808AF6" w14:textId="0D8E3550" w:rsidR="00F3133D" w:rsidRPr="00562A8A" w:rsidRDefault="00562A8A" w:rsidP="00007DE4">
      <w:pPr>
        <w:pStyle w:val="ListParagraph"/>
        <w:numPr>
          <w:ilvl w:val="2"/>
          <w:numId w:val="19"/>
        </w:numPr>
        <w:jc w:val="both"/>
      </w:pPr>
      <w:r>
        <w:t>The Total Annual Operating Cost calculated in Section 5 is the value used for cost evaluation under the formula described in Section 4.4. The Offeror is not permitted to adjust or modify Submittal Form C, and may not include additional rates, amounts, costs, information, exceptions, or limitations to their cost proposal. An Offeror's failure to meet these requirements may be found non-responsive and given no further consideration.</w:t>
      </w:r>
    </w:p>
    <w:p w14:paraId="4A395473" w14:textId="77777777" w:rsidR="00FA54C5" w:rsidRDefault="00FA54C5" w:rsidP="00F3133D">
      <w:pPr>
        <w:ind w:left="720"/>
        <w:jc w:val="both"/>
      </w:pPr>
    </w:p>
    <w:p w14:paraId="3339C86F" w14:textId="77777777" w:rsidR="00FA54C5" w:rsidRDefault="00FA54C5" w:rsidP="00F3133D">
      <w:pPr>
        <w:ind w:left="720"/>
        <w:jc w:val="both"/>
      </w:pPr>
    </w:p>
    <w:p w14:paraId="6A4EDDEF" w14:textId="77777777" w:rsidR="00FA54C5" w:rsidRDefault="00FA54C5">
      <w:pPr>
        <w:rPr>
          <w:rFonts w:cstheme="minorHAnsi"/>
          <w:spacing w:val="20"/>
          <w:sz w:val="48"/>
          <w:szCs w:val="44"/>
        </w:rPr>
      </w:pPr>
      <w:r>
        <w:rPr>
          <w:rFonts w:cstheme="minorHAnsi"/>
          <w:spacing w:val="20"/>
          <w:sz w:val="48"/>
          <w:szCs w:val="44"/>
        </w:rPr>
        <w:br w:type="page"/>
      </w:r>
    </w:p>
    <w:p w14:paraId="7A49550B" w14:textId="10EAA688" w:rsidR="000D57CA" w:rsidRPr="008B4867" w:rsidRDefault="000D57CA" w:rsidP="000D57CA">
      <w:pPr>
        <w:jc w:val="both"/>
        <w:rPr>
          <w:rFonts w:cstheme="minorHAnsi"/>
          <w:color w:val="0070C0"/>
          <w:spacing w:val="20"/>
          <w:sz w:val="48"/>
          <w:szCs w:val="44"/>
        </w:rPr>
      </w:pPr>
      <w:r>
        <w:rPr>
          <w:rFonts w:cstheme="minorHAnsi"/>
          <w:color w:val="0070C0"/>
          <w:spacing w:val="20"/>
          <w:sz w:val="48"/>
          <w:szCs w:val="44"/>
        </w:rPr>
        <w:lastRenderedPageBreak/>
        <w:t xml:space="preserve">Section 4 </w:t>
      </w:r>
    </w:p>
    <w:p w14:paraId="6A507045" w14:textId="77777777" w:rsidR="000D57CA" w:rsidRPr="008B4867" w:rsidRDefault="000D57CA" w:rsidP="008B4867">
      <w:pPr>
        <w:shd w:val="clear" w:color="auto" w:fill="0070C0"/>
        <w:jc w:val="both"/>
        <w:rPr>
          <w:rFonts w:cstheme="minorHAnsi"/>
          <w:color w:val="FFFFFF" w:themeColor="background1"/>
          <w:spacing w:val="20"/>
          <w:sz w:val="36"/>
          <w:szCs w:val="32"/>
        </w:rPr>
      </w:pPr>
      <w:r>
        <w:rPr>
          <w:rFonts w:cstheme="minorHAnsi"/>
          <w:color w:val="FFFFFF" w:themeColor="background1"/>
          <w:spacing w:val="20"/>
          <w:sz w:val="36"/>
          <w:szCs w:val="32"/>
        </w:rPr>
        <w:t>Evaluation &amp; Award Procedures</w:t>
      </w:r>
    </w:p>
    <w:p w14:paraId="23774371" w14:textId="77777777" w:rsidR="000D57CA" w:rsidRDefault="000D57CA" w:rsidP="000D57CA">
      <w:pPr>
        <w:jc w:val="both"/>
      </w:pPr>
    </w:p>
    <w:p w14:paraId="316315A0" w14:textId="77777777" w:rsidR="000D57CA" w:rsidRPr="00A5375C" w:rsidRDefault="000D57CA" w:rsidP="00007DE4">
      <w:pPr>
        <w:pStyle w:val="ListParagraph"/>
        <w:numPr>
          <w:ilvl w:val="0"/>
          <w:numId w:val="7"/>
        </w:numPr>
        <w:jc w:val="both"/>
        <w:rPr>
          <w:b/>
          <w:bCs/>
          <w:spacing w:val="20"/>
          <w:sz w:val="24"/>
          <w:szCs w:val="24"/>
        </w:rPr>
      </w:pPr>
      <w:r>
        <w:rPr>
          <w:b/>
          <w:bCs/>
          <w:spacing w:val="20"/>
          <w:sz w:val="24"/>
          <w:szCs w:val="24"/>
        </w:rPr>
        <w:t xml:space="preserve">Mandatory Submission Requirements </w:t>
      </w:r>
    </w:p>
    <w:p w14:paraId="41417138" w14:textId="77777777" w:rsidR="000D57CA" w:rsidRDefault="000D57CA" w:rsidP="000D57CA">
      <w:pPr>
        <w:ind w:left="720"/>
        <w:jc w:val="both"/>
      </w:pPr>
      <w:r>
        <w:t>All Proposals will be reviewed on a "pass" or "fail" basis to ensure compliance with all mandatory submission requirements. Proposals determined by the State, at its sole discretion, to be responsive in this regard will proceed to the evaluation process outlined in this Section. Proposals that do not meet the mandatory submission requirements will be deemed non-responsive. Mandatory submission requirements include, but are not limited to, the following:</w:t>
      </w:r>
    </w:p>
    <w:p w14:paraId="28FC3D33" w14:textId="77777777" w:rsidR="00E725E1" w:rsidRPr="00E725E1" w:rsidRDefault="00E725E1" w:rsidP="00007DE4">
      <w:pPr>
        <w:pStyle w:val="ListParagraph"/>
        <w:numPr>
          <w:ilvl w:val="0"/>
          <w:numId w:val="6"/>
        </w:numPr>
        <w:jc w:val="both"/>
        <w:rPr>
          <w:vanish/>
        </w:rPr>
      </w:pPr>
    </w:p>
    <w:p w14:paraId="60EEF106" w14:textId="77777777" w:rsidR="00E725E1" w:rsidRPr="00E725E1" w:rsidRDefault="00E725E1" w:rsidP="00007DE4">
      <w:pPr>
        <w:pStyle w:val="ListParagraph"/>
        <w:numPr>
          <w:ilvl w:val="0"/>
          <w:numId w:val="6"/>
        </w:numPr>
        <w:jc w:val="both"/>
        <w:rPr>
          <w:vanish/>
        </w:rPr>
      </w:pPr>
    </w:p>
    <w:p w14:paraId="4FE01EC7" w14:textId="77777777" w:rsidR="00E725E1" w:rsidRPr="00E725E1" w:rsidRDefault="00E725E1" w:rsidP="00007DE4">
      <w:pPr>
        <w:pStyle w:val="ListParagraph"/>
        <w:numPr>
          <w:ilvl w:val="0"/>
          <w:numId w:val="6"/>
        </w:numPr>
        <w:jc w:val="both"/>
        <w:rPr>
          <w:vanish/>
        </w:rPr>
      </w:pPr>
    </w:p>
    <w:p w14:paraId="5C60893B" w14:textId="77777777" w:rsidR="00E725E1" w:rsidRPr="00E725E1" w:rsidRDefault="00E725E1" w:rsidP="00007DE4">
      <w:pPr>
        <w:pStyle w:val="ListParagraph"/>
        <w:numPr>
          <w:ilvl w:val="0"/>
          <w:numId w:val="6"/>
        </w:numPr>
        <w:jc w:val="both"/>
        <w:rPr>
          <w:vanish/>
        </w:rPr>
      </w:pPr>
    </w:p>
    <w:p w14:paraId="31AA4503" w14:textId="77777777" w:rsidR="00E725E1" w:rsidRPr="00E725E1" w:rsidRDefault="00E725E1" w:rsidP="00007DE4">
      <w:pPr>
        <w:pStyle w:val="ListParagraph"/>
        <w:numPr>
          <w:ilvl w:val="1"/>
          <w:numId w:val="6"/>
        </w:numPr>
        <w:jc w:val="both"/>
        <w:rPr>
          <w:vanish/>
        </w:rPr>
      </w:pPr>
    </w:p>
    <w:p w14:paraId="06A13FDF" w14:textId="5C96EA08" w:rsidR="000D57CA" w:rsidRDefault="000D57CA" w:rsidP="00E725E1">
      <w:pPr>
        <w:pStyle w:val="ListParagraph"/>
        <w:ind w:left="792"/>
        <w:jc w:val="both"/>
      </w:pPr>
    </w:p>
    <w:p w14:paraId="6239696B" w14:textId="56882204" w:rsidR="00E725E1" w:rsidRDefault="00E725E1" w:rsidP="00007DE4">
      <w:pPr>
        <w:pStyle w:val="ListParagraph"/>
        <w:numPr>
          <w:ilvl w:val="2"/>
          <w:numId w:val="6"/>
        </w:numPr>
        <w:ind w:hanging="414"/>
        <w:jc w:val="both"/>
      </w:pPr>
      <w:r>
        <w:t>The Proposal was submitted prior to the specified Closing Date and Time.</w:t>
      </w:r>
    </w:p>
    <w:p w14:paraId="731C0F45" w14:textId="77777777" w:rsidR="000D57CA" w:rsidRDefault="000D57CA" w:rsidP="00007DE4">
      <w:pPr>
        <w:pStyle w:val="ListParagraph"/>
        <w:numPr>
          <w:ilvl w:val="2"/>
          <w:numId w:val="6"/>
        </w:numPr>
        <w:ind w:hanging="414"/>
        <w:jc w:val="both"/>
      </w:pPr>
      <w:r>
        <w:t>The Proposal complies with the submission instructions detailed in Section 2.6.</w:t>
      </w:r>
    </w:p>
    <w:p w14:paraId="33CA1D0D" w14:textId="77777777" w:rsidR="000D57CA" w:rsidRDefault="000D57CA" w:rsidP="00007DE4">
      <w:pPr>
        <w:pStyle w:val="ListParagraph"/>
        <w:numPr>
          <w:ilvl w:val="2"/>
          <w:numId w:val="6"/>
        </w:numPr>
        <w:ind w:hanging="414"/>
        <w:jc w:val="both"/>
      </w:pPr>
      <w:r>
        <w:t>The Proposal includes a fully completed and signed Submittal Form A.</w:t>
      </w:r>
    </w:p>
    <w:p w14:paraId="6044AF53" w14:textId="41F736E2" w:rsidR="00B46951" w:rsidRDefault="00B46951" w:rsidP="00007DE4">
      <w:pPr>
        <w:pStyle w:val="ListParagraph"/>
        <w:numPr>
          <w:ilvl w:val="2"/>
          <w:numId w:val="6"/>
        </w:numPr>
        <w:ind w:hanging="414"/>
        <w:jc w:val="both"/>
      </w:pPr>
      <w:r>
        <w:t>The Proposal includes all required Submittal Forms listed in Section 3.</w:t>
      </w:r>
    </w:p>
    <w:p w14:paraId="6BC95017" w14:textId="77777777" w:rsidR="000D57CA" w:rsidRDefault="000D57CA" w:rsidP="000D57CA">
      <w:pPr>
        <w:jc w:val="both"/>
      </w:pPr>
    </w:p>
    <w:p w14:paraId="2512706D" w14:textId="77777777" w:rsidR="000D57CA" w:rsidRPr="00A5375C" w:rsidRDefault="000D57CA" w:rsidP="00007DE4">
      <w:pPr>
        <w:pStyle w:val="ListParagraph"/>
        <w:numPr>
          <w:ilvl w:val="0"/>
          <w:numId w:val="7"/>
        </w:numPr>
        <w:jc w:val="both"/>
        <w:rPr>
          <w:b/>
          <w:bCs/>
          <w:spacing w:val="20"/>
          <w:sz w:val="24"/>
          <w:szCs w:val="24"/>
        </w:rPr>
      </w:pPr>
      <w:r>
        <w:rPr>
          <w:b/>
          <w:bCs/>
          <w:spacing w:val="20"/>
          <w:sz w:val="24"/>
          <w:szCs w:val="24"/>
        </w:rPr>
        <w:t xml:space="preserve">Evaluation Criteria </w:t>
      </w:r>
    </w:p>
    <w:p w14:paraId="4F6FD8FE" w14:textId="3150CBCE" w:rsidR="000D57CA" w:rsidRDefault="000D57CA" w:rsidP="000D57CA">
      <w:pPr>
        <w:ind w:left="720"/>
        <w:jc w:val="both"/>
      </w:pPr>
      <w:r>
        <w:t>The objective of the State in soliciting and evaluating Proposals is to ensure the selection of a firm or individual that will produce the best possible results for the funds expended. Responsive Proposals will be evaluated as described in the table below.</w:t>
      </w:r>
      <w:r w:rsidR="00773742">
        <w:t xml:space="preserve"> The Technical Proposal and Cost Proposal are worth 1000 points. If Presentations and/or Key Personnel Interviews are conducted, an additional 200 points will be added to the total points. </w:t>
      </w:r>
    </w:p>
    <w:p w14:paraId="62B70E0E" w14:textId="77777777" w:rsidR="000D57CA" w:rsidRDefault="000D57CA" w:rsidP="000D57CA">
      <w:pPr>
        <w:jc w:val="both"/>
      </w:pPr>
    </w:p>
    <w:tbl>
      <w:tblPr>
        <w:tblStyle w:val="TableGrid"/>
        <w:tblW w:w="0" w:type="auto"/>
        <w:tblInd w:w="1255" w:type="dxa"/>
        <w:tblLook w:val="04A0" w:firstRow="1" w:lastRow="0" w:firstColumn="1" w:lastColumn="0" w:noHBand="0" w:noVBand="1"/>
      </w:tblPr>
      <w:tblGrid>
        <w:gridCol w:w="8100"/>
        <w:gridCol w:w="1350"/>
      </w:tblGrid>
      <w:tr w:rsidR="000D57CA" w:rsidRPr="008474D3" w14:paraId="3EF1DE04" w14:textId="77777777" w:rsidTr="002C7643">
        <w:trPr>
          <w:trHeight w:val="360"/>
        </w:trPr>
        <w:tc>
          <w:tcPr>
            <w:tcW w:w="8100" w:type="dxa"/>
            <w:shd w:val="clear" w:color="auto" w:fill="F2F2F2" w:themeFill="background1" w:themeFillShade="F2"/>
            <w:vAlign w:val="center"/>
          </w:tcPr>
          <w:p w14:paraId="415DB4FA" w14:textId="77777777" w:rsidR="000D57CA" w:rsidRPr="008474D3" w:rsidRDefault="000D57CA" w:rsidP="002C7643">
            <w:pPr>
              <w:jc w:val="center"/>
              <w:rPr>
                <w:b/>
                <w:bCs/>
              </w:rPr>
            </w:pPr>
            <w:r>
              <w:rPr>
                <w:b/>
                <w:bCs/>
              </w:rPr>
              <w:t>Criteria</w:t>
            </w:r>
          </w:p>
        </w:tc>
        <w:tc>
          <w:tcPr>
            <w:tcW w:w="1350" w:type="dxa"/>
            <w:shd w:val="clear" w:color="auto" w:fill="F2F2F2" w:themeFill="background1" w:themeFillShade="F2"/>
            <w:vAlign w:val="center"/>
          </w:tcPr>
          <w:p w14:paraId="42F4A885" w14:textId="77777777" w:rsidR="000D57CA" w:rsidRPr="008474D3" w:rsidRDefault="000D57CA" w:rsidP="002C7643">
            <w:pPr>
              <w:jc w:val="center"/>
              <w:rPr>
                <w:b/>
                <w:bCs/>
              </w:rPr>
            </w:pPr>
            <w:r>
              <w:rPr>
                <w:b/>
                <w:bCs/>
              </w:rPr>
              <w:t>Weight</w:t>
            </w:r>
          </w:p>
        </w:tc>
      </w:tr>
      <w:tr w:rsidR="000D57CA" w14:paraId="4EA381E5" w14:textId="77777777" w:rsidTr="002C7643">
        <w:trPr>
          <w:trHeight w:val="360"/>
        </w:trPr>
        <w:tc>
          <w:tcPr>
            <w:tcW w:w="8100" w:type="dxa"/>
            <w:vAlign w:val="center"/>
          </w:tcPr>
          <w:p w14:paraId="5FDF2847" w14:textId="77777777" w:rsidR="000D57CA" w:rsidRDefault="000D57CA" w:rsidP="002C7643">
            <w:pPr>
              <w:jc w:val="both"/>
            </w:pPr>
            <w:r>
              <w:t xml:space="preserve">Mandatory Submission Requirements </w:t>
            </w:r>
            <w:r>
              <w:tab/>
            </w:r>
          </w:p>
        </w:tc>
        <w:tc>
          <w:tcPr>
            <w:tcW w:w="1350" w:type="dxa"/>
            <w:vAlign w:val="center"/>
          </w:tcPr>
          <w:p w14:paraId="0F190A0E" w14:textId="77777777" w:rsidR="000D57CA" w:rsidRDefault="000D57CA" w:rsidP="002C7643">
            <w:pPr>
              <w:jc w:val="center"/>
            </w:pPr>
            <w:r>
              <w:t>Pass/Fail</w:t>
            </w:r>
          </w:p>
        </w:tc>
      </w:tr>
      <w:tr w:rsidR="000D57CA" w14:paraId="4157B8CD" w14:textId="77777777" w:rsidTr="002C7643">
        <w:trPr>
          <w:trHeight w:val="360"/>
        </w:trPr>
        <w:tc>
          <w:tcPr>
            <w:tcW w:w="8100" w:type="dxa"/>
            <w:vAlign w:val="center"/>
          </w:tcPr>
          <w:p w14:paraId="71BAFA9E" w14:textId="77777777" w:rsidR="000D57CA" w:rsidRDefault="000D57CA" w:rsidP="002C7643">
            <w:pPr>
              <w:jc w:val="both"/>
            </w:pPr>
            <w:r>
              <w:t xml:space="preserve">Submittal A - Background, Declarations, &amp; Certifications </w:t>
            </w:r>
          </w:p>
        </w:tc>
        <w:tc>
          <w:tcPr>
            <w:tcW w:w="1350" w:type="dxa"/>
            <w:vAlign w:val="center"/>
          </w:tcPr>
          <w:p w14:paraId="2D2D63BB" w14:textId="77777777" w:rsidR="000D57CA" w:rsidRDefault="000D57CA" w:rsidP="002C7643">
            <w:pPr>
              <w:jc w:val="center"/>
            </w:pPr>
            <w:r>
              <w:t>Pass/Fail</w:t>
            </w:r>
          </w:p>
        </w:tc>
      </w:tr>
      <w:tr w:rsidR="000D57CA" w14:paraId="62A3CC5C" w14:textId="77777777" w:rsidTr="002C7643">
        <w:trPr>
          <w:trHeight w:val="360"/>
        </w:trPr>
        <w:tc>
          <w:tcPr>
            <w:tcW w:w="8100" w:type="dxa"/>
            <w:vAlign w:val="center"/>
          </w:tcPr>
          <w:p w14:paraId="5D596F55" w14:textId="77777777" w:rsidR="000D57CA" w:rsidRPr="00013DC0" w:rsidRDefault="000D57CA" w:rsidP="002C7643">
            <w:pPr>
              <w:jc w:val="both"/>
            </w:pPr>
            <w:r>
              <w:t>Submittal B - Qualifications &amp; Experience</w:t>
            </w:r>
          </w:p>
        </w:tc>
        <w:tc>
          <w:tcPr>
            <w:tcW w:w="1350" w:type="dxa"/>
            <w:vAlign w:val="center"/>
          </w:tcPr>
          <w:p w14:paraId="4B10E812" w14:textId="7F2543E8" w:rsidR="000D57CA" w:rsidRPr="00013DC0" w:rsidRDefault="006B3228" w:rsidP="002C7643">
            <w:pPr>
              <w:jc w:val="center"/>
            </w:pPr>
            <w:r>
              <w:t>150</w:t>
            </w:r>
          </w:p>
        </w:tc>
      </w:tr>
      <w:tr w:rsidR="000D57CA" w14:paraId="7859A3CC" w14:textId="77777777" w:rsidTr="002C7643">
        <w:trPr>
          <w:trHeight w:val="360"/>
        </w:trPr>
        <w:tc>
          <w:tcPr>
            <w:tcW w:w="8100" w:type="dxa"/>
            <w:vAlign w:val="center"/>
          </w:tcPr>
          <w:p w14:paraId="40E3CCC0" w14:textId="6A43C3BD" w:rsidR="000D57CA" w:rsidRPr="00013DC0" w:rsidRDefault="000D57CA" w:rsidP="002C7643">
            <w:pPr>
              <w:jc w:val="both"/>
            </w:pPr>
            <w:r>
              <w:t>Submittal B - Approach</w:t>
            </w:r>
          </w:p>
        </w:tc>
        <w:tc>
          <w:tcPr>
            <w:tcW w:w="1350" w:type="dxa"/>
            <w:vAlign w:val="center"/>
          </w:tcPr>
          <w:p w14:paraId="7E32A7BB" w14:textId="0EBA96AD" w:rsidR="000D57CA" w:rsidRPr="00013DC0" w:rsidRDefault="006B3228" w:rsidP="002C7643">
            <w:pPr>
              <w:jc w:val="center"/>
            </w:pPr>
            <w:r>
              <w:t>250</w:t>
            </w:r>
          </w:p>
        </w:tc>
      </w:tr>
      <w:tr w:rsidR="000D57CA" w14:paraId="09638EF5" w14:textId="77777777" w:rsidTr="002C7643">
        <w:trPr>
          <w:trHeight w:val="360"/>
        </w:trPr>
        <w:tc>
          <w:tcPr>
            <w:tcW w:w="8100" w:type="dxa"/>
            <w:tcBorders>
              <w:bottom w:val="single" w:sz="4" w:space="0" w:color="auto"/>
            </w:tcBorders>
            <w:vAlign w:val="center"/>
          </w:tcPr>
          <w:p w14:paraId="21EDB47C" w14:textId="0CDB883B" w:rsidR="000D57CA" w:rsidRPr="00013DC0" w:rsidRDefault="000D57CA" w:rsidP="002C7643">
            <w:pPr>
              <w:jc w:val="both"/>
            </w:pPr>
            <w:r>
              <w:t xml:space="preserve">Submittal B - Obstacles, Challenges, &amp; Risks </w:t>
            </w:r>
          </w:p>
        </w:tc>
        <w:tc>
          <w:tcPr>
            <w:tcW w:w="1350" w:type="dxa"/>
            <w:tcBorders>
              <w:bottom w:val="single" w:sz="4" w:space="0" w:color="auto"/>
            </w:tcBorders>
            <w:vAlign w:val="center"/>
          </w:tcPr>
          <w:p w14:paraId="3731B7C3" w14:textId="06CD039C" w:rsidR="000D57CA" w:rsidRPr="00013DC0" w:rsidRDefault="000702E2" w:rsidP="002C7643">
            <w:pPr>
              <w:jc w:val="center"/>
            </w:pPr>
            <w:r>
              <w:t>150</w:t>
            </w:r>
          </w:p>
        </w:tc>
      </w:tr>
      <w:tr w:rsidR="002C4724" w14:paraId="5C9FC5D5" w14:textId="77777777" w:rsidTr="002C7643">
        <w:trPr>
          <w:trHeight w:val="360"/>
        </w:trPr>
        <w:tc>
          <w:tcPr>
            <w:tcW w:w="8100" w:type="dxa"/>
            <w:tcBorders>
              <w:bottom w:val="single" w:sz="4" w:space="0" w:color="auto"/>
            </w:tcBorders>
            <w:vAlign w:val="center"/>
          </w:tcPr>
          <w:p w14:paraId="48E1DBFC" w14:textId="702CAC08" w:rsidR="002C4724" w:rsidRPr="00013DC0" w:rsidRDefault="00C76AD3" w:rsidP="002C7643">
            <w:pPr>
              <w:jc w:val="both"/>
            </w:pPr>
            <w:r>
              <w:t>Submittal B - Scenario</w:t>
            </w:r>
          </w:p>
        </w:tc>
        <w:tc>
          <w:tcPr>
            <w:tcW w:w="1350" w:type="dxa"/>
            <w:tcBorders>
              <w:bottom w:val="single" w:sz="4" w:space="0" w:color="auto"/>
            </w:tcBorders>
            <w:vAlign w:val="center"/>
          </w:tcPr>
          <w:p w14:paraId="1BC12B1D" w14:textId="0CB7CC51" w:rsidR="002C4724" w:rsidRDefault="000702E2" w:rsidP="002C7643">
            <w:pPr>
              <w:jc w:val="center"/>
            </w:pPr>
            <w:r>
              <w:t>250</w:t>
            </w:r>
          </w:p>
        </w:tc>
      </w:tr>
      <w:tr w:rsidR="000D57CA" w14:paraId="724A4371" w14:textId="77777777" w:rsidTr="002C7643">
        <w:trPr>
          <w:trHeight w:val="360"/>
        </w:trPr>
        <w:tc>
          <w:tcPr>
            <w:tcW w:w="8100" w:type="dxa"/>
            <w:tcBorders>
              <w:bottom w:val="single" w:sz="4" w:space="0" w:color="auto"/>
            </w:tcBorders>
            <w:vAlign w:val="center"/>
          </w:tcPr>
          <w:p w14:paraId="4B6FFBAF" w14:textId="77705A3D" w:rsidR="000D57CA" w:rsidRPr="00013DC0" w:rsidRDefault="000D57CA" w:rsidP="002C7643">
            <w:pPr>
              <w:jc w:val="both"/>
            </w:pPr>
            <w:r>
              <w:t xml:space="preserve">Submittal C – Cost Proposal </w:t>
            </w:r>
          </w:p>
        </w:tc>
        <w:tc>
          <w:tcPr>
            <w:tcW w:w="1350" w:type="dxa"/>
            <w:tcBorders>
              <w:bottom w:val="single" w:sz="4" w:space="0" w:color="auto"/>
            </w:tcBorders>
            <w:vAlign w:val="center"/>
          </w:tcPr>
          <w:p w14:paraId="221748A2" w14:textId="58BF3882" w:rsidR="000D57CA" w:rsidRPr="00013DC0" w:rsidRDefault="00BE0D39" w:rsidP="002C7643">
            <w:pPr>
              <w:jc w:val="center"/>
            </w:pPr>
            <w:r>
              <w:t>200</w:t>
            </w:r>
          </w:p>
        </w:tc>
      </w:tr>
      <w:tr w:rsidR="000D57CA" w14:paraId="697000DD" w14:textId="77777777" w:rsidTr="002C7643">
        <w:trPr>
          <w:trHeight w:val="360"/>
        </w:trPr>
        <w:tc>
          <w:tcPr>
            <w:tcW w:w="8100" w:type="dxa"/>
            <w:tcBorders>
              <w:bottom w:val="single" w:sz="4" w:space="0" w:color="auto"/>
            </w:tcBorders>
            <w:vAlign w:val="center"/>
          </w:tcPr>
          <w:p w14:paraId="260A4907" w14:textId="117E80B2" w:rsidR="000D57CA" w:rsidRPr="00013DC0" w:rsidRDefault="000D57CA" w:rsidP="002C7643">
            <w:pPr>
              <w:jc w:val="both"/>
            </w:pPr>
            <w:r>
              <w:t>Oral Presentations &amp; Key Personnel Interviews</w:t>
            </w:r>
          </w:p>
        </w:tc>
        <w:tc>
          <w:tcPr>
            <w:tcW w:w="1350" w:type="dxa"/>
            <w:tcBorders>
              <w:bottom w:val="single" w:sz="4" w:space="0" w:color="auto"/>
            </w:tcBorders>
            <w:vAlign w:val="center"/>
          </w:tcPr>
          <w:p w14:paraId="73A0587F" w14:textId="72C8A75B" w:rsidR="000D57CA" w:rsidRPr="00013DC0" w:rsidRDefault="007C41FC" w:rsidP="002C7643">
            <w:pPr>
              <w:jc w:val="center"/>
            </w:pPr>
            <w:r>
              <w:t>200</w:t>
            </w:r>
          </w:p>
        </w:tc>
      </w:tr>
      <w:tr w:rsidR="000D57CA" w14:paraId="79BB8A14" w14:textId="77777777" w:rsidTr="002C7643">
        <w:trPr>
          <w:trHeight w:val="360"/>
        </w:trPr>
        <w:tc>
          <w:tcPr>
            <w:tcW w:w="8100" w:type="dxa"/>
            <w:tcBorders>
              <w:top w:val="single" w:sz="4" w:space="0" w:color="auto"/>
              <w:left w:val="nil"/>
              <w:bottom w:val="nil"/>
              <w:right w:val="nil"/>
            </w:tcBorders>
            <w:vAlign w:val="center"/>
          </w:tcPr>
          <w:p w14:paraId="2E524851" w14:textId="77777777" w:rsidR="000D57CA" w:rsidRDefault="000D57CA" w:rsidP="002C7643">
            <w:pPr>
              <w:jc w:val="right"/>
            </w:pPr>
            <w:r>
              <w:t>Total Points:</w:t>
            </w:r>
          </w:p>
        </w:tc>
        <w:tc>
          <w:tcPr>
            <w:tcW w:w="1350" w:type="dxa"/>
            <w:tcBorders>
              <w:top w:val="single" w:sz="4" w:space="0" w:color="auto"/>
              <w:left w:val="nil"/>
              <w:bottom w:val="nil"/>
              <w:right w:val="nil"/>
            </w:tcBorders>
            <w:vAlign w:val="center"/>
          </w:tcPr>
          <w:p w14:paraId="25AD0592" w14:textId="64F4C8C9" w:rsidR="000D57CA" w:rsidRDefault="000D57CA" w:rsidP="002C7643">
            <w:pPr>
              <w:jc w:val="center"/>
            </w:pPr>
            <w:r>
              <w:t>1,200</w:t>
            </w:r>
          </w:p>
        </w:tc>
      </w:tr>
    </w:tbl>
    <w:p w14:paraId="2AAD0B84" w14:textId="77777777" w:rsidR="000D57CA" w:rsidRDefault="000D57CA" w:rsidP="000D57CA">
      <w:pPr>
        <w:jc w:val="both"/>
      </w:pPr>
    </w:p>
    <w:p w14:paraId="436FF9DF" w14:textId="77777777" w:rsidR="000D57CA" w:rsidRPr="00A5375C" w:rsidRDefault="000D57CA" w:rsidP="00007DE4">
      <w:pPr>
        <w:pStyle w:val="ListParagraph"/>
        <w:numPr>
          <w:ilvl w:val="0"/>
          <w:numId w:val="7"/>
        </w:numPr>
        <w:jc w:val="both"/>
        <w:rPr>
          <w:b/>
          <w:bCs/>
          <w:spacing w:val="20"/>
          <w:sz w:val="24"/>
          <w:szCs w:val="24"/>
        </w:rPr>
      </w:pPr>
      <w:r>
        <w:rPr>
          <w:b/>
          <w:bCs/>
          <w:spacing w:val="20"/>
          <w:sz w:val="24"/>
          <w:szCs w:val="24"/>
        </w:rPr>
        <w:t xml:space="preserve">Evaluation Committee </w:t>
      </w:r>
    </w:p>
    <w:p w14:paraId="39D1AB51" w14:textId="06118E03" w:rsidR="000D57CA" w:rsidRDefault="00C76AD3" w:rsidP="000D57CA">
      <w:pPr>
        <w:ind w:left="720"/>
        <w:jc w:val="both"/>
      </w:pPr>
      <w:r>
        <w:t>The Technical Proposal will be evaluated and scored utilizing one (1) or more Technical Proposal Evaluation Committee(s). The scores for the Technical Proposal will be normalized as described in Section 4.4.</w:t>
      </w:r>
    </w:p>
    <w:p w14:paraId="3BA60AF5" w14:textId="77777777" w:rsidR="000D57CA" w:rsidRDefault="000D57CA" w:rsidP="000D57CA">
      <w:pPr>
        <w:jc w:val="both"/>
      </w:pPr>
      <w:r>
        <w:tab/>
      </w:r>
    </w:p>
    <w:p w14:paraId="6BFF2C3F" w14:textId="77777777" w:rsidR="000D57CA" w:rsidRPr="00A5375C" w:rsidRDefault="000D57CA" w:rsidP="00007DE4">
      <w:pPr>
        <w:pStyle w:val="ListParagraph"/>
        <w:numPr>
          <w:ilvl w:val="0"/>
          <w:numId w:val="7"/>
        </w:numPr>
        <w:jc w:val="both"/>
        <w:rPr>
          <w:b/>
          <w:bCs/>
          <w:spacing w:val="20"/>
          <w:sz w:val="24"/>
          <w:szCs w:val="24"/>
        </w:rPr>
      </w:pPr>
      <w:r>
        <w:rPr>
          <w:b/>
          <w:bCs/>
          <w:spacing w:val="20"/>
          <w:sz w:val="24"/>
          <w:szCs w:val="24"/>
        </w:rPr>
        <w:t xml:space="preserve">Calculations </w:t>
      </w:r>
    </w:p>
    <w:p w14:paraId="37516586" w14:textId="77777777" w:rsidR="000D57CA" w:rsidRDefault="000D57CA" w:rsidP="000D57CA">
      <w:pPr>
        <w:ind w:left="720"/>
        <w:jc w:val="both"/>
      </w:pPr>
      <w:r>
        <w:t xml:space="preserve">The following approach will be used to normalize and calculate scores: </w:t>
      </w:r>
    </w:p>
    <w:p w14:paraId="48B08A3D" w14:textId="77777777" w:rsidR="000D57CA" w:rsidRDefault="000D57CA" w:rsidP="000D57CA">
      <w:pPr>
        <w:ind w:left="720"/>
        <w:jc w:val="both"/>
      </w:pPr>
    </w:p>
    <w:p w14:paraId="1F8271CF" w14:textId="77777777" w:rsidR="00C8428C" w:rsidRDefault="000D57CA" w:rsidP="000D57CA">
      <w:pPr>
        <w:ind w:left="720"/>
        <w:jc w:val="both"/>
        <w:rPr>
          <w:b/>
          <w:bCs/>
        </w:rPr>
      </w:pPr>
      <w:r>
        <w:rPr>
          <w:b/>
          <w:bCs/>
        </w:rPr>
        <w:t>Written Proposal Calculations</w:t>
      </w:r>
    </w:p>
    <w:p w14:paraId="5DE3D889" w14:textId="77777777" w:rsidR="00AF6DFD" w:rsidRDefault="00AF6DFD" w:rsidP="000D57CA">
      <w:pPr>
        <w:ind w:left="720"/>
        <w:jc w:val="both"/>
        <w:rPr>
          <w:b/>
          <w:bCs/>
        </w:rPr>
      </w:pPr>
    </w:p>
    <w:p w14:paraId="37B427B8" w14:textId="2EF07722" w:rsidR="000D57CA" w:rsidRDefault="000D57CA" w:rsidP="000D57CA">
      <w:pPr>
        <w:ind w:left="720"/>
        <w:jc w:val="both"/>
      </w:pPr>
      <w:r>
        <w:t>For each document that is evaluated and scored by the evaluation committee, the RFP Lead will:</w:t>
      </w:r>
    </w:p>
    <w:p w14:paraId="0E861BC9" w14:textId="77777777" w:rsidR="00C8428C" w:rsidRDefault="00C8428C" w:rsidP="000D57CA">
      <w:pPr>
        <w:ind w:left="720"/>
        <w:jc w:val="both"/>
      </w:pPr>
    </w:p>
    <w:p w14:paraId="443F18B7" w14:textId="07F814A5" w:rsidR="00C8428C" w:rsidRDefault="00C8428C" w:rsidP="00007DE4">
      <w:pPr>
        <w:pStyle w:val="ListParagraph"/>
        <w:numPr>
          <w:ilvl w:val="2"/>
          <w:numId w:val="20"/>
        </w:numPr>
        <w:jc w:val="both"/>
      </w:pPr>
      <w:r>
        <w:t>Average evaluator scores for each Proposal.</w:t>
      </w:r>
    </w:p>
    <w:p w14:paraId="637C0F03" w14:textId="77777777" w:rsidR="00C8428C" w:rsidRPr="00664D51" w:rsidRDefault="00C8428C" w:rsidP="00007DE4">
      <w:pPr>
        <w:pStyle w:val="ListParagraph"/>
        <w:numPr>
          <w:ilvl w:val="2"/>
          <w:numId w:val="20"/>
        </w:numPr>
        <w:jc w:val="both"/>
      </w:pPr>
      <w:r>
        <w:t>Identify the highest raw average score among all Proposals.</w:t>
      </w:r>
    </w:p>
    <w:p w14:paraId="58605AA1" w14:textId="77777777" w:rsidR="00C8428C" w:rsidRDefault="00C8428C" w:rsidP="00007DE4">
      <w:pPr>
        <w:numPr>
          <w:ilvl w:val="2"/>
          <w:numId w:val="20"/>
        </w:numPr>
        <w:jc w:val="both"/>
      </w:pPr>
      <w:r>
        <w:t>Assign normalized points as follows:</w:t>
      </w:r>
    </w:p>
    <w:p w14:paraId="012985CC" w14:textId="77777777" w:rsidR="00AF6DFD" w:rsidRDefault="00AF6DFD" w:rsidP="00AF6DFD">
      <w:pPr>
        <w:ind w:left="1440"/>
        <w:jc w:val="both"/>
      </w:pPr>
    </w:p>
    <w:p w14:paraId="54AFD16A" w14:textId="77777777" w:rsidR="00C8428C" w:rsidRDefault="00C8428C" w:rsidP="00007DE4">
      <w:pPr>
        <w:numPr>
          <w:ilvl w:val="3"/>
          <w:numId w:val="20"/>
        </w:numPr>
        <w:jc w:val="both"/>
      </w:pPr>
      <w:r>
        <w:lastRenderedPageBreak/>
        <w:t>The Proposal with the highest raw score will receive the maximum available points for Submittal B.</w:t>
      </w:r>
    </w:p>
    <w:p w14:paraId="74EC361A" w14:textId="416C0ECF" w:rsidR="00AF6DFD" w:rsidRPr="00664D51" w:rsidRDefault="00C8428C" w:rsidP="00951F84">
      <w:pPr>
        <w:numPr>
          <w:ilvl w:val="3"/>
          <w:numId w:val="20"/>
        </w:numPr>
        <w:jc w:val="both"/>
      </w:pPr>
      <w:r>
        <w:t>All other Proposals will receive a proportional share of the available Submittal B points using the formula:</w:t>
      </w:r>
    </w:p>
    <w:p w14:paraId="58D41A09" w14:textId="2029E67F" w:rsidR="00C8428C" w:rsidRDefault="00C8428C" w:rsidP="00C8428C">
      <w:pPr>
        <w:pStyle w:val="ListParagraph"/>
        <w:ind w:left="1224"/>
        <w:jc w:val="both"/>
      </w:pPr>
    </w:p>
    <w:p w14:paraId="3DC9A669" w14:textId="590A998C" w:rsidR="00B42928" w:rsidRPr="00013DC0" w:rsidRDefault="00595341" w:rsidP="00753696">
      <w:pPr>
        <w:jc w:val="both"/>
        <w:rPr>
          <w:sz w:val="20"/>
          <w:szCs w:val="20"/>
        </w:rPr>
      </w:pPr>
      <m:oMathPara>
        <m:oMath>
          <m:d>
            <m:dPr>
              <m:ctrlPr>
                <w:rPr>
                  <w:rFonts w:ascii="Cambria Math" w:hAnsi="Cambria Math"/>
                  <w:i/>
                  <w:sz w:val="20"/>
                  <w:szCs w:val="20"/>
                </w:rPr>
              </m:ctrlPr>
            </m:dPr>
            <m:e>
              <m:r>
                <w:rPr>
                  <w:rFonts w:ascii="Cambria Math" w:hAnsi="Cambria Math"/>
                </w:rPr>
                <m:t>800</m:t>
              </m:r>
            </m:e>
          </m:d>
          <m:r>
            <w:rPr>
              <w:rFonts w:ascii="Cambria Math" w:hAnsi="Cambria Math"/>
              <w:sz w:val="20"/>
              <w:szCs w:val="20"/>
            </w:rPr>
            <m:t>×</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Raw score of Submittal B being evaluated</m:t>
                  </m:r>
                </m:num>
                <m:den>
                  <m:r>
                    <w:rPr>
                      <w:rFonts w:ascii="Cambria Math" w:hAnsi="Cambria Math"/>
                      <w:sz w:val="20"/>
                      <w:szCs w:val="20"/>
                    </w:rPr>
                    <m:t>Highest raw Submittal Form B score</m:t>
                  </m:r>
                </m:den>
              </m:f>
            </m:e>
          </m:d>
        </m:oMath>
      </m:oMathPara>
    </w:p>
    <w:p w14:paraId="1564845B" w14:textId="77777777" w:rsidR="000D57CA" w:rsidRDefault="000D57CA" w:rsidP="000D57CA">
      <w:pPr>
        <w:ind w:left="720"/>
        <w:jc w:val="both"/>
      </w:pPr>
    </w:p>
    <w:p w14:paraId="2D812C46" w14:textId="77777777" w:rsidR="00AF6DFD" w:rsidRDefault="00AF6DFD" w:rsidP="000D57CA">
      <w:pPr>
        <w:ind w:left="720"/>
        <w:jc w:val="both"/>
      </w:pPr>
    </w:p>
    <w:p w14:paraId="7DFB8A67" w14:textId="43907BEE" w:rsidR="00AF6DFD" w:rsidRDefault="000D57CA" w:rsidP="000D57CA">
      <w:pPr>
        <w:ind w:left="720"/>
        <w:jc w:val="both"/>
        <w:rPr>
          <w:b/>
          <w:bCs/>
        </w:rPr>
      </w:pPr>
      <w:r>
        <w:rPr>
          <w:b/>
          <w:bCs/>
        </w:rPr>
        <w:t>Interviews, Presentations, and Demonstrations Calculations (if conducted)</w:t>
      </w:r>
    </w:p>
    <w:p w14:paraId="2F4EBC16" w14:textId="77777777" w:rsidR="00AF6DFD" w:rsidRDefault="00AF6DFD" w:rsidP="000D57CA">
      <w:pPr>
        <w:ind w:left="720"/>
        <w:jc w:val="both"/>
        <w:rPr>
          <w:b/>
          <w:bCs/>
        </w:rPr>
      </w:pPr>
    </w:p>
    <w:p w14:paraId="7992E55B" w14:textId="6705CC61" w:rsidR="00AF6DFD" w:rsidRDefault="00AF6DFD" w:rsidP="00AF6DFD">
      <w:pPr>
        <w:ind w:left="720"/>
        <w:jc w:val="both"/>
      </w:pPr>
      <w:r>
        <w:t>The RFP Lead will average all evaluator scores for each Interview, Presentation, or Demonstration element. The averaged score will then be normalized as follows:</w:t>
      </w:r>
    </w:p>
    <w:p w14:paraId="4C7ADB62" w14:textId="77777777" w:rsidR="00AF6DFD" w:rsidRPr="00664D51" w:rsidRDefault="00AF6DFD" w:rsidP="00AF6DFD">
      <w:pPr>
        <w:ind w:left="720"/>
        <w:jc w:val="both"/>
      </w:pPr>
    </w:p>
    <w:p w14:paraId="1375CD4C" w14:textId="76F738A7" w:rsidR="00AF6DFD" w:rsidRPr="00664D51" w:rsidRDefault="00270170" w:rsidP="00270170">
      <w:pPr>
        <w:numPr>
          <w:ilvl w:val="2"/>
          <w:numId w:val="20"/>
        </w:numPr>
        <w:jc w:val="both"/>
      </w:pPr>
      <w:r>
        <w:t>An Offeror receiving the highest raw average score for an element will be awarded the maximum available points for that element.</w:t>
      </w:r>
    </w:p>
    <w:p w14:paraId="29518C31" w14:textId="77777777" w:rsidR="00AF6DFD" w:rsidRPr="00664D51" w:rsidRDefault="00AF6DFD" w:rsidP="00007DE4">
      <w:pPr>
        <w:numPr>
          <w:ilvl w:val="2"/>
          <w:numId w:val="20"/>
        </w:numPr>
        <w:tabs>
          <w:tab w:val="num" w:pos="720"/>
        </w:tabs>
        <w:jc w:val="both"/>
      </w:pPr>
      <w:r>
        <w:t>All remaining Offerors will receive a proportional share of the available points using the following formula:</w:t>
      </w:r>
    </w:p>
    <w:p w14:paraId="4C36479D" w14:textId="387BF464" w:rsidR="000D57CA" w:rsidRDefault="000D57CA" w:rsidP="000D57CA">
      <w:pPr>
        <w:ind w:left="720"/>
        <w:jc w:val="both"/>
      </w:pPr>
      <w:r>
        <w:t xml:space="preserve"> </w:t>
      </w:r>
    </w:p>
    <w:p w14:paraId="29B5BC1C" w14:textId="77777777" w:rsidR="00C8428C" w:rsidRDefault="00C8428C" w:rsidP="000D57CA">
      <w:pPr>
        <w:ind w:left="720"/>
        <w:jc w:val="both"/>
      </w:pPr>
    </w:p>
    <w:p w14:paraId="6B7EE15D" w14:textId="77777777" w:rsidR="00AF6DFD" w:rsidRDefault="00AF6DFD" w:rsidP="000D57CA">
      <w:pPr>
        <w:ind w:left="720"/>
        <w:jc w:val="both"/>
      </w:pPr>
    </w:p>
    <w:p w14:paraId="26F1A1F5" w14:textId="6885A8A4" w:rsidR="00B42928" w:rsidRPr="004825D8" w:rsidRDefault="00595341" w:rsidP="00753696">
      <w:pPr>
        <w:jc w:val="both"/>
        <w:rPr>
          <w:sz w:val="20"/>
          <w:szCs w:val="20"/>
        </w:rPr>
      </w:pPr>
      <m:oMathPara>
        <m:oMath>
          <m:d>
            <m:dPr>
              <m:ctrlPr>
                <w:rPr>
                  <w:rFonts w:ascii="Cambria Math" w:hAnsi="Cambria Math"/>
                  <w:i/>
                  <w:sz w:val="20"/>
                  <w:szCs w:val="20"/>
                </w:rPr>
              </m:ctrlPr>
            </m:dPr>
            <m:e>
              <m:r>
                <w:rPr>
                  <w:rFonts w:ascii="Cambria Math" w:hAnsi="Cambria Math"/>
                  <w:sz w:val="20"/>
                  <w:szCs w:val="20"/>
                </w:rPr>
                <m:t>200</m:t>
              </m:r>
            </m:e>
          </m:d>
          <m:r>
            <w:rPr>
              <w:rFonts w:ascii="Cambria Math" w:hAnsi="Cambria Math"/>
              <w:sz w:val="20"/>
              <w:szCs w:val="20"/>
            </w:rPr>
            <m:t>×</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Raw score of Interviews, Presentations, or Demos being evaluated</m:t>
                  </m:r>
                </m:num>
                <m:den>
                  <m:r>
                    <w:rPr>
                      <w:rFonts w:ascii="Cambria Math" w:hAnsi="Cambria Math"/>
                      <w:sz w:val="20"/>
                      <w:szCs w:val="20"/>
                    </w:rPr>
                    <m:t>Highest raw Interviews, Presentations, or Demos score</m:t>
                  </m:r>
                </m:den>
              </m:f>
            </m:e>
          </m:d>
        </m:oMath>
      </m:oMathPara>
    </w:p>
    <w:p w14:paraId="5966207C" w14:textId="77777777" w:rsidR="000D57CA" w:rsidRDefault="000D57CA" w:rsidP="000D57CA">
      <w:pPr>
        <w:ind w:left="720"/>
        <w:jc w:val="both"/>
      </w:pPr>
    </w:p>
    <w:p w14:paraId="618B01C3" w14:textId="77777777" w:rsidR="00AF6DFD" w:rsidRDefault="00AF6DFD" w:rsidP="000D57CA">
      <w:pPr>
        <w:ind w:left="720"/>
        <w:jc w:val="both"/>
      </w:pPr>
    </w:p>
    <w:p w14:paraId="01EE9830" w14:textId="77777777" w:rsidR="00AF6DFD" w:rsidRDefault="000D57CA" w:rsidP="000D57CA">
      <w:pPr>
        <w:ind w:left="720"/>
        <w:jc w:val="both"/>
        <w:rPr>
          <w:b/>
          <w:bCs/>
        </w:rPr>
      </w:pPr>
      <w:r>
        <w:rPr>
          <w:b/>
          <w:bCs/>
        </w:rPr>
        <w:t>Cost Calculations</w:t>
      </w:r>
    </w:p>
    <w:p w14:paraId="7C2D62CF" w14:textId="77777777" w:rsidR="00AF6DFD" w:rsidRDefault="00AF6DFD" w:rsidP="000D57CA">
      <w:pPr>
        <w:ind w:left="720"/>
        <w:jc w:val="both"/>
        <w:rPr>
          <w:b/>
          <w:bCs/>
        </w:rPr>
      </w:pPr>
    </w:p>
    <w:p w14:paraId="78112BB4" w14:textId="77777777" w:rsidR="00AF6DFD" w:rsidRDefault="000D57CA" w:rsidP="00AF6DFD">
      <w:pPr>
        <w:ind w:left="720"/>
        <w:jc w:val="both"/>
      </w:pPr>
      <w:r>
        <w:t>Points for the Cost Proposal will be normalized as follows:</w:t>
      </w:r>
    </w:p>
    <w:p w14:paraId="22C5794E" w14:textId="77777777" w:rsidR="00AF6DFD" w:rsidRPr="002647FD" w:rsidRDefault="00AF6DFD" w:rsidP="00AF6DFD">
      <w:pPr>
        <w:ind w:left="720"/>
        <w:jc w:val="both"/>
      </w:pPr>
    </w:p>
    <w:p w14:paraId="45C69D17" w14:textId="77777777" w:rsidR="00AF6DFD" w:rsidRPr="00B34CCB" w:rsidRDefault="00AF6DFD" w:rsidP="00007DE4">
      <w:pPr>
        <w:numPr>
          <w:ilvl w:val="2"/>
          <w:numId w:val="20"/>
        </w:numPr>
        <w:tabs>
          <w:tab w:val="num" w:pos="720"/>
        </w:tabs>
        <w:jc w:val="both"/>
      </w:pPr>
      <w:r>
        <w:t>The Proposal with the lowest total evaluated cost will receive the maximum available points.</w:t>
      </w:r>
    </w:p>
    <w:p w14:paraId="6F854934" w14:textId="77777777" w:rsidR="00AF6DFD" w:rsidRPr="00B34CCB" w:rsidRDefault="00AF6DFD" w:rsidP="00007DE4">
      <w:pPr>
        <w:numPr>
          <w:ilvl w:val="2"/>
          <w:numId w:val="20"/>
        </w:numPr>
        <w:tabs>
          <w:tab w:val="num" w:pos="720"/>
        </w:tabs>
        <w:jc w:val="both"/>
      </w:pPr>
      <w:r>
        <w:t>All remaining Proposals will receive a proportional share of the available points using the following formula:</w:t>
      </w:r>
    </w:p>
    <w:p w14:paraId="3DF915B4" w14:textId="67564587" w:rsidR="000D57CA" w:rsidRDefault="000D57CA" w:rsidP="000D57CA">
      <w:pPr>
        <w:ind w:left="720"/>
        <w:jc w:val="both"/>
      </w:pPr>
    </w:p>
    <w:p w14:paraId="5A5BE02F" w14:textId="0CF1F965" w:rsidR="00B42928" w:rsidRPr="00013DC0" w:rsidRDefault="00595341" w:rsidP="00753696">
      <w:pPr>
        <w:jc w:val="both"/>
        <w:rPr>
          <w:sz w:val="20"/>
          <w:szCs w:val="20"/>
        </w:rPr>
      </w:pPr>
      <m:oMathPara>
        <m:oMath>
          <m:d>
            <m:dPr>
              <m:ctrlPr>
                <w:rPr>
                  <w:rFonts w:ascii="Cambria Math" w:hAnsi="Cambria Math"/>
                  <w:i/>
                  <w:sz w:val="20"/>
                  <w:szCs w:val="20"/>
                </w:rPr>
              </m:ctrlPr>
            </m:dPr>
            <m:e>
              <m:r>
                <w:rPr>
                  <w:rFonts w:ascii="Cambria Math" w:hAnsi="Cambria Math"/>
                </w:rPr>
                <m:t>200</m:t>
              </m:r>
            </m:e>
          </m:d>
          <m:r>
            <w:rPr>
              <w:rFonts w:ascii="Cambria Math" w:hAnsi="Cambria Math"/>
              <w:sz w:val="20"/>
              <w:szCs w:val="20"/>
            </w:rPr>
            <m:t>×</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Lowest overall Total Cost</m:t>
                  </m:r>
                </m:num>
                <m:den>
                  <m:r>
                    <w:rPr>
                      <w:rFonts w:ascii="Cambria Math" w:hAnsi="Cambria Math"/>
                      <w:sz w:val="20"/>
                      <w:szCs w:val="20"/>
                    </w:rPr>
                    <m:t>Overall Total Cost being evaluated</m:t>
                  </m:r>
                </m:den>
              </m:f>
            </m:e>
          </m:d>
        </m:oMath>
      </m:oMathPara>
    </w:p>
    <w:p w14:paraId="17C2805F" w14:textId="77777777" w:rsidR="000D57CA" w:rsidRDefault="000D57CA" w:rsidP="000D57CA">
      <w:pPr>
        <w:ind w:left="720"/>
        <w:jc w:val="both"/>
      </w:pPr>
    </w:p>
    <w:p w14:paraId="2058C513" w14:textId="77777777" w:rsidR="000D57CA" w:rsidRDefault="000D57CA" w:rsidP="000D57CA">
      <w:pPr>
        <w:ind w:left="720"/>
        <w:jc w:val="both"/>
      </w:pPr>
    </w:p>
    <w:p w14:paraId="57884897" w14:textId="1A0B7D9F" w:rsidR="00C2111A" w:rsidRPr="00A5375C" w:rsidRDefault="00C76AD3" w:rsidP="00007DE4">
      <w:pPr>
        <w:pStyle w:val="ListParagraph"/>
        <w:numPr>
          <w:ilvl w:val="0"/>
          <w:numId w:val="7"/>
        </w:numPr>
        <w:jc w:val="both"/>
        <w:rPr>
          <w:b/>
          <w:bCs/>
          <w:spacing w:val="20"/>
          <w:sz w:val="24"/>
          <w:szCs w:val="24"/>
        </w:rPr>
      </w:pPr>
      <w:r>
        <w:rPr>
          <w:b/>
          <w:bCs/>
          <w:spacing w:val="20"/>
          <w:sz w:val="24"/>
          <w:szCs w:val="24"/>
        </w:rPr>
        <w:t xml:space="preserve">Candidate Selection </w:t>
      </w:r>
    </w:p>
    <w:p w14:paraId="0696E5F2" w14:textId="01A8E16E" w:rsidR="000D57CA" w:rsidRDefault="00C2111A" w:rsidP="00C2111A">
      <w:pPr>
        <w:ind w:left="720"/>
        <w:jc w:val="both"/>
      </w:pPr>
      <w:r>
        <w:t>The RFP Lead may select Offerors to be invited to participate in presentations, interviews, and demonstrations. The State intends to only open Cost Proposals for the selected Offerors.</w:t>
      </w:r>
    </w:p>
    <w:p w14:paraId="2FFA8BEA" w14:textId="77777777" w:rsidR="000D57CA" w:rsidRDefault="000D57CA" w:rsidP="000D57CA">
      <w:pPr>
        <w:jc w:val="both"/>
      </w:pPr>
    </w:p>
    <w:p w14:paraId="39D65ADD" w14:textId="37EC7FAE" w:rsidR="000D57CA" w:rsidRPr="005F6390" w:rsidRDefault="000D57CA" w:rsidP="00007DE4">
      <w:pPr>
        <w:pStyle w:val="ListParagraph"/>
        <w:numPr>
          <w:ilvl w:val="0"/>
          <w:numId w:val="7"/>
        </w:numPr>
        <w:jc w:val="both"/>
        <w:rPr>
          <w:b/>
          <w:bCs/>
          <w:spacing w:val="20"/>
          <w:sz w:val="24"/>
          <w:szCs w:val="24"/>
        </w:rPr>
      </w:pPr>
      <w:r>
        <w:rPr>
          <w:b/>
          <w:bCs/>
          <w:spacing w:val="20"/>
          <w:sz w:val="24"/>
          <w:szCs w:val="24"/>
        </w:rPr>
        <w:t>Presentations</w:t>
      </w:r>
    </w:p>
    <w:p w14:paraId="6F68955E" w14:textId="6785D141" w:rsidR="000D57CA" w:rsidRDefault="00C2111A" w:rsidP="000D57CA">
      <w:pPr>
        <w:ind w:left="720"/>
        <w:jc w:val="both"/>
      </w:pPr>
      <w:r>
        <w:t xml:space="preserve">The RFP Lead may invite selected Offerors to participate in presentations, which will be scored by an evaluation committee. The presentation may be performed in-person or virtually. The Offeror may prepare PowerPoint slides.  The Offeror will be provided a maximum of 90 minutes to cover the topics listed below.  The Offeror should allow for about 15 minutes of questions within the maximum time limit.  The Offeror is prohibited from disclosing their cost Proposal at any time during this presentation period. The Offeror can bring up to three (3) team members to participate in the presentation, one of which must be the Project Manager.  If an invited Offeror fails to perform a presentation, they will be given a “0” score, which may jeopardize the Offerors competitiveness.  </w:t>
      </w:r>
    </w:p>
    <w:p w14:paraId="1A37231F" w14:textId="77777777" w:rsidR="000D57CA" w:rsidRDefault="000D57CA" w:rsidP="000D57CA">
      <w:pPr>
        <w:ind w:left="720"/>
        <w:jc w:val="both"/>
      </w:pPr>
    </w:p>
    <w:p w14:paraId="504B2C5C" w14:textId="77777777" w:rsidR="000D57CA" w:rsidRDefault="000D57CA" w:rsidP="000D57CA">
      <w:pPr>
        <w:ind w:left="720"/>
        <w:jc w:val="both"/>
      </w:pPr>
      <w:r>
        <w:t>The Presentation should cover the following topics:</w:t>
      </w:r>
    </w:p>
    <w:p w14:paraId="1039E5D9" w14:textId="77777777" w:rsidR="005A3723" w:rsidRPr="005A3723" w:rsidRDefault="005A3723" w:rsidP="00007DE4">
      <w:pPr>
        <w:pStyle w:val="ListParagraph"/>
        <w:numPr>
          <w:ilvl w:val="0"/>
          <w:numId w:val="8"/>
        </w:numPr>
        <w:jc w:val="both"/>
        <w:rPr>
          <w:vanish/>
        </w:rPr>
      </w:pPr>
    </w:p>
    <w:p w14:paraId="09E85005" w14:textId="77777777" w:rsidR="005A3723" w:rsidRPr="005A3723" w:rsidRDefault="005A3723" w:rsidP="00007DE4">
      <w:pPr>
        <w:pStyle w:val="ListParagraph"/>
        <w:numPr>
          <w:ilvl w:val="0"/>
          <w:numId w:val="8"/>
        </w:numPr>
        <w:jc w:val="both"/>
        <w:rPr>
          <w:vanish/>
        </w:rPr>
      </w:pPr>
    </w:p>
    <w:p w14:paraId="663C202B" w14:textId="77777777" w:rsidR="005A3723" w:rsidRPr="005A3723" w:rsidRDefault="005A3723" w:rsidP="00007DE4">
      <w:pPr>
        <w:pStyle w:val="ListParagraph"/>
        <w:numPr>
          <w:ilvl w:val="0"/>
          <w:numId w:val="8"/>
        </w:numPr>
        <w:jc w:val="both"/>
        <w:rPr>
          <w:vanish/>
        </w:rPr>
      </w:pPr>
    </w:p>
    <w:p w14:paraId="5BA9CAE7" w14:textId="77777777" w:rsidR="005A3723" w:rsidRPr="005A3723" w:rsidRDefault="005A3723" w:rsidP="00007DE4">
      <w:pPr>
        <w:pStyle w:val="ListParagraph"/>
        <w:numPr>
          <w:ilvl w:val="0"/>
          <w:numId w:val="8"/>
        </w:numPr>
        <w:jc w:val="both"/>
        <w:rPr>
          <w:vanish/>
        </w:rPr>
      </w:pPr>
    </w:p>
    <w:p w14:paraId="110D876F" w14:textId="77777777" w:rsidR="005A3723" w:rsidRPr="005A3723" w:rsidRDefault="005A3723" w:rsidP="00007DE4">
      <w:pPr>
        <w:pStyle w:val="ListParagraph"/>
        <w:numPr>
          <w:ilvl w:val="1"/>
          <w:numId w:val="8"/>
        </w:numPr>
        <w:jc w:val="both"/>
        <w:rPr>
          <w:vanish/>
        </w:rPr>
      </w:pPr>
    </w:p>
    <w:p w14:paraId="6A4AF82A" w14:textId="77777777" w:rsidR="005A3723" w:rsidRPr="005A3723" w:rsidRDefault="005A3723" w:rsidP="00007DE4">
      <w:pPr>
        <w:pStyle w:val="ListParagraph"/>
        <w:numPr>
          <w:ilvl w:val="1"/>
          <w:numId w:val="8"/>
        </w:numPr>
        <w:jc w:val="both"/>
        <w:rPr>
          <w:vanish/>
        </w:rPr>
      </w:pPr>
    </w:p>
    <w:p w14:paraId="248AD3CA" w14:textId="77777777" w:rsidR="005A3723" w:rsidRPr="005A3723" w:rsidRDefault="005A3723" w:rsidP="00007DE4">
      <w:pPr>
        <w:pStyle w:val="ListParagraph"/>
        <w:numPr>
          <w:ilvl w:val="1"/>
          <w:numId w:val="8"/>
        </w:numPr>
        <w:jc w:val="both"/>
        <w:rPr>
          <w:vanish/>
        </w:rPr>
      </w:pPr>
    </w:p>
    <w:p w14:paraId="7B6572C8" w14:textId="77777777" w:rsidR="005A3723" w:rsidRPr="005A3723" w:rsidRDefault="005A3723" w:rsidP="00007DE4">
      <w:pPr>
        <w:pStyle w:val="ListParagraph"/>
        <w:numPr>
          <w:ilvl w:val="1"/>
          <w:numId w:val="8"/>
        </w:numPr>
        <w:jc w:val="both"/>
        <w:rPr>
          <w:vanish/>
        </w:rPr>
      </w:pPr>
    </w:p>
    <w:p w14:paraId="3042257B" w14:textId="77777777" w:rsidR="005A3723" w:rsidRPr="005A3723" w:rsidRDefault="005A3723" w:rsidP="00007DE4">
      <w:pPr>
        <w:pStyle w:val="ListParagraph"/>
        <w:numPr>
          <w:ilvl w:val="1"/>
          <w:numId w:val="8"/>
        </w:numPr>
        <w:jc w:val="both"/>
        <w:rPr>
          <w:vanish/>
        </w:rPr>
      </w:pPr>
    </w:p>
    <w:p w14:paraId="6C90F0D1" w14:textId="77777777" w:rsidR="005A3723" w:rsidRPr="005A3723" w:rsidRDefault="005A3723" w:rsidP="00007DE4">
      <w:pPr>
        <w:pStyle w:val="ListParagraph"/>
        <w:numPr>
          <w:ilvl w:val="1"/>
          <w:numId w:val="8"/>
        </w:numPr>
        <w:jc w:val="both"/>
        <w:rPr>
          <w:vanish/>
        </w:rPr>
      </w:pPr>
    </w:p>
    <w:p w14:paraId="6EF1A5ED" w14:textId="069013D0" w:rsidR="000D57CA" w:rsidRDefault="000D57CA" w:rsidP="005A3723">
      <w:pPr>
        <w:pStyle w:val="ListParagraph"/>
        <w:ind w:left="1224"/>
        <w:jc w:val="both"/>
      </w:pPr>
    </w:p>
    <w:p w14:paraId="58EBE7B6" w14:textId="3F2F184B" w:rsidR="005A3723" w:rsidRDefault="005A3723" w:rsidP="00007DE4">
      <w:pPr>
        <w:pStyle w:val="ListParagraph"/>
        <w:numPr>
          <w:ilvl w:val="2"/>
          <w:numId w:val="8"/>
        </w:numPr>
        <w:ind w:left="1350" w:hanging="630"/>
        <w:jc w:val="both"/>
      </w:pPr>
      <w:r>
        <w:t>Qualifications &amp; Experience of the Offer and the Key Personnel</w:t>
      </w:r>
    </w:p>
    <w:p w14:paraId="5964E500" w14:textId="4170EC23" w:rsidR="005A3723" w:rsidRDefault="005A3723" w:rsidP="00007DE4">
      <w:pPr>
        <w:pStyle w:val="ListParagraph"/>
        <w:numPr>
          <w:ilvl w:val="2"/>
          <w:numId w:val="8"/>
        </w:numPr>
        <w:ind w:left="1350" w:hanging="630"/>
        <w:jc w:val="both"/>
      </w:pPr>
      <w:r>
        <w:t>Approach and Timeline</w:t>
      </w:r>
    </w:p>
    <w:p w14:paraId="7419894E" w14:textId="77777777" w:rsidR="00CC7C62" w:rsidRDefault="00CC7C62" w:rsidP="000D57CA">
      <w:pPr>
        <w:jc w:val="both"/>
      </w:pPr>
    </w:p>
    <w:p w14:paraId="4EB1EDBB" w14:textId="77777777" w:rsidR="005165E8" w:rsidRPr="00B14E49" w:rsidRDefault="005165E8" w:rsidP="000D57CA">
      <w:pPr>
        <w:jc w:val="both"/>
      </w:pPr>
    </w:p>
    <w:p w14:paraId="69355DDD" w14:textId="202389AE" w:rsidR="000D57CA" w:rsidRPr="00B14E49" w:rsidRDefault="000D57CA" w:rsidP="00007DE4">
      <w:pPr>
        <w:pStyle w:val="ListParagraph"/>
        <w:numPr>
          <w:ilvl w:val="0"/>
          <w:numId w:val="7"/>
        </w:numPr>
        <w:jc w:val="both"/>
        <w:rPr>
          <w:b/>
          <w:bCs/>
          <w:spacing w:val="20"/>
          <w:sz w:val="24"/>
          <w:szCs w:val="24"/>
        </w:rPr>
      </w:pPr>
      <w:r>
        <w:rPr>
          <w:b/>
          <w:bCs/>
          <w:spacing w:val="20"/>
          <w:sz w:val="24"/>
          <w:szCs w:val="24"/>
        </w:rPr>
        <w:t>Key Personnel Interviews</w:t>
      </w:r>
    </w:p>
    <w:p w14:paraId="6F964105" w14:textId="77777777" w:rsidR="0007079F" w:rsidRDefault="00C2111A" w:rsidP="0007079F">
      <w:pPr>
        <w:ind w:left="720"/>
        <w:jc w:val="both"/>
      </w:pPr>
      <w:r>
        <w:t>The RFP Lead may invite selected Offerors to participate in key personnel interviews, which will be scored by the evaluation committee.</w:t>
      </w:r>
    </w:p>
    <w:p w14:paraId="03A66340" w14:textId="77777777" w:rsidR="0007079F" w:rsidRDefault="0007079F" w:rsidP="0007079F">
      <w:pPr>
        <w:ind w:left="720"/>
        <w:jc w:val="both"/>
      </w:pPr>
    </w:p>
    <w:p w14:paraId="20ADC82F" w14:textId="72495F6A" w:rsidR="00C2111A" w:rsidRDefault="0007079F" w:rsidP="0007079F">
      <w:pPr>
        <w:ind w:left="720"/>
        <w:jc w:val="both"/>
      </w:pPr>
      <w:r>
        <w:t>The Offeror is responsible for assigning Key Personnel (individuals) to this Contract. These individuals must be assigned to this role for the duration of the Contract, in accordance with Exhibit 4, Section 9 (Key Personnel), and may not be replaced or reassigned without the prior written consent of ICOA, except in cases of uncontrollable events such as retirement, medical emergency, injury, sickness, or resignation.</w:t>
      </w:r>
    </w:p>
    <w:p w14:paraId="0C4B8485" w14:textId="320D9FE3" w:rsidR="00C2111A" w:rsidRDefault="00C2111A" w:rsidP="00E725E1">
      <w:pPr>
        <w:ind w:left="720"/>
        <w:jc w:val="both"/>
      </w:pPr>
      <w:r>
        <w:t xml:space="preserve">The following key personnel may be interviewed: </w:t>
      </w:r>
    </w:p>
    <w:p w14:paraId="475BD2E3" w14:textId="77777777" w:rsidR="00E725E1" w:rsidRPr="00E725E1" w:rsidRDefault="00E725E1" w:rsidP="00007DE4">
      <w:pPr>
        <w:pStyle w:val="ListParagraph"/>
        <w:numPr>
          <w:ilvl w:val="0"/>
          <w:numId w:val="9"/>
        </w:numPr>
        <w:jc w:val="both"/>
        <w:rPr>
          <w:b/>
          <w:bCs/>
          <w:vanish/>
        </w:rPr>
      </w:pPr>
    </w:p>
    <w:p w14:paraId="6F54A895" w14:textId="77777777" w:rsidR="00E725E1" w:rsidRPr="00E725E1" w:rsidRDefault="00E725E1" w:rsidP="00007DE4">
      <w:pPr>
        <w:pStyle w:val="ListParagraph"/>
        <w:numPr>
          <w:ilvl w:val="0"/>
          <w:numId w:val="9"/>
        </w:numPr>
        <w:jc w:val="both"/>
        <w:rPr>
          <w:b/>
          <w:bCs/>
          <w:vanish/>
        </w:rPr>
      </w:pPr>
    </w:p>
    <w:p w14:paraId="75CA675A" w14:textId="77777777" w:rsidR="00E725E1" w:rsidRPr="00E725E1" w:rsidRDefault="00E725E1" w:rsidP="00007DE4">
      <w:pPr>
        <w:pStyle w:val="ListParagraph"/>
        <w:numPr>
          <w:ilvl w:val="0"/>
          <w:numId w:val="9"/>
        </w:numPr>
        <w:jc w:val="both"/>
        <w:rPr>
          <w:b/>
          <w:bCs/>
          <w:vanish/>
        </w:rPr>
      </w:pPr>
    </w:p>
    <w:p w14:paraId="23016D57" w14:textId="77777777" w:rsidR="00E725E1" w:rsidRPr="00E725E1" w:rsidRDefault="00E725E1" w:rsidP="00007DE4">
      <w:pPr>
        <w:pStyle w:val="ListParagraph"/>
        <w:numPr>
          <w:ilvl w:val="0"/>
          <w:numId w:val="9"/>
        </w:numPr>
        <w:jc w:val="both"/>
        <w:rPr>
          <w:b/>
          <w:bCs/>
          <w:vanish/>
        </w:rPr>
      </w:pPr>
    </w:p>
    <w:p w14:paraId="228DAF9D" w14:textId="77777777" w:rsidR="00E725E1" w:rsidRPr="00E725E1" w:rsidRDefault="00E725E1" w:rsidP="00007DE4">
      <w:pPr>
        <w:pStyle w:val="ListParagraph"/>
        <w:numPr>
          <w:ilvl w:val="1"/>
          <w:numId w:val="9"/>
        </w:numPr>
        <w:jc w:val="both"/>
        <w:rPr>
          <w:b/>
          <w:bCs/>
          <w:vanish/>
        </w:rPr>
      </w:pPr>
    </w:p>
    <w:p w14:paraId="25D81AEF" w14:textId="77777777" w:rsidR="00E725E1" w:rsidRPr="00E725E1" w:rsidRDefault="00E725E1" w:rsidP="00007DE4">
      <w:pPr>
        <w:pStyle w:val="ListParagraph"/>
        <w:numPr>
          <w:ilvl w:val="1"/>
          <w:numId w:val="9"/>
        </w:numPr>
        <w:jc w:val="both"/>
        <w:rPr>
          <w:b/>
          <w:bCs/>
          <w:vanish/>
        </w:rPr>
      </w:pPr>
    </w:p>
    <w:p w14:paraId="5A989254" w14:textId="77777777" w:rsidR="00E725E1" w:rsidRPr="00E725E1" w:rsidRDefault="00E725E1" w:rsidP="00007DE4">
      <w:pPr>
        <w:pStyle w:val="ListParagraph"/>
        <w:numPr>
          <w:ilvl w:val="1"/>
          <w:numId w:val="9"/>
        </w:numPr>
        <w:jc w:val="both"/>
        <w:rPr>
          <w:b/>
          <w:bCs/>
          <w:vanish/>
        </w:rPr>
      </w:pPr>
    </w:p>
    <w:p w14:paraId="6F7B307C" w14:textId="77777777" w:rsidR="00E725E1" w:rsidRPr="00E725E1" w:rsidRDefault="00E725E1" w:rsidP="00007DE4">
      <w:pPr>
        <w:pStyle w:val="ListParagraph"/>
        <w:numPr>
          <w:ilvl w:val="1"/>
          <w:numId w:val="9"/>
        </w:numPr>
        <w:jc w:val="both"/>
        <w:rPr>
          <w:b/>
          <w:bCs/>
          <w:vanish/>
        </w:rPr>
      </w:pPr>
    </w:p>
    <w:p w14:paraId="6D079A53" w14:textId="77777777" w:rsidR="00E725E1" w:rsidRPr="00E725E1" w:rsidRDefault="00E725E1" w:rsidP="00007DE4">
      <w:pPr>
        <w:pStyle w:val="ListParagraph"/>
        <w:numPr>
          <w:ilvl w:val="1"/>
          <w:numId w:val="9"/>
        </w:numPr>
        <w:jc w:val="both"/>
        <w:rPr>
          <w:b/>
          <w:bCs/>
          <w:vanish/>
        </w:rPr>
      </w:pPr>
    </w:p>
    <w:p w14:paraId="57C76D0C" w14:textId="77777777" w:rsidR="00E725E1" w:rsidRPr="00E725E1" w:rsidRDefault="00E725E1" w:rsidP="00007DE4">
      <w:pPr>
        <w:pStyle w:val="ListParagraph"/>
        <w:numPr>
          <w:ilvl w:val="1"/>
          <w:numId w:val="9"/>
        </w:numPr>
        <w:jc w:val="both"/>
        <w:rPr>
          <w:b/>
          <w:bCs/>
          <w:vanish/>
        </w:rPr>
      </w:pPr>
    </w:p>
    <w:p w14:paraId="197F5204" w14:textId="77777777" w:rsidR="00E725E1" w:rsidRPr="00E725E1" w:rsidRDefault="00E725E1" w:rsidP="00007DE4">
      <w:pPr>
        <w:pStyle w:val="ListParagraph"/>
        <w:numPr>
          <w:ilvl w:val="1"/>
          <w:numId w:val="9"/>
        </w:numPr>
        <w:jc w:val="both"/>
        <w:rPr>
          <w:b/>
          <w:bCs/>
          <w:vanish/>
        </w:rPr>
      </w:pPr>
    </w:p>
    <w:p w14:paraId="794C32EE" w14:textId="3555A7A8" w:rsidR="00E725E1" w:rsidRDefault="00E725E1" w:rsidP="00E725E1">
      <w:pPr>
        <w:pStyle w:val="ListParagraph"/>
        <w:ind w:left="1224"/>
        <w:jc w:val="both"/>
      </w:pPr>
    </w:p>
    <w:p w14:paraId="7A2B4EBB" w14:textId="78067573" w:rsidR="00E725E1" w:rsidRDefault="00E725E1" w:rsidP="00007DE4">
      <w:pPr>
        <w:pStyle w:val="ListParagraph"/>
        <w:numPr>
          <w:ilvl w:val="2"/>
          <w:numId w:val="9"/>
        </w:numPr>
        <w:ind w:left="1350" w:hanging="630"/>
        <w:jc w:val="both"/>
      </w:pPr>
      <w:r>
        <w:t>Project Lead</w:t>
      </w:r>
      <w:r>
        <w:rPr>
          <w:b/>
          <w:bCs/>
        </w:rPr>
        <w:t>:</w:t>
      </w:r>
      <w:r>
        <w:t xml:space="preserve"> The individual who will serve as the daily point of contact for this Contract and is responsible for managing the overall delivery of SCSEP services in PSA 3.</w:t>
      </w:r>
    </w:p>
    <w:p w14:paraId="06303021" w14:textId="77777777" w:rsidR="00C2111A" w:rsidRDefault="00C2111A" w:rsidP="00C2111A">
      <w:pPr>
        <w:ind w:left="720"/>
        <w:jc w:val="both"/>
      </w:pPr>
    </w:p>
    <w:p w14:paraId="492A00A7" w14:textId="2563144B" w:rsidR="0007079F" w:rsidRDefault="0007079F" w:rsidP="00C2111A">
      <w:pPr>
        <w:ind w:left="720"/>
        <w:jc w:val="both"/>
      </w:pPr>
      <w:r>
        <w:t>Additional Key Personnel may be identified by the Offeror in its Technical Proposal and, if agreed upon by the parties at contract execution, will be subject to the same interview, replacement, and consent requirements.</w:t>
      </w:r>
    </w:p>
    <w:p w14:paraId="0C19A185" w14:textId="77777777" w:rsidR="0007079F" w:rsidRPr="00B14E49" w:rsidRDefault="0007079F" w:rsidP="00C2111A">
      <w:pPr>
        <w:ind w:left="720"/>
        <w:jc w:val="both"/>
      </w:pPr>
    </w:p>
    <w:p w14:paraId="01B318C4" w14:textId="7F18F257" w:rsidR="00C2111A" w:rsidRDefault="00C2111A" w:rsidP="00C2111A">
      <w:pPr>
        <w:ind w:left="720"/>
        <w:jc w:val="both"/>
      </w:pPr>
      <w:r>
        <w:t xml:space="preserve">Interviews are expected to last approximately 30 minutes per individual.  The State will interview individuals separately (not as a team).  Interviewees may be asked questions regarding their experience, knowledge and understanding of the scope of work, obstacles and challenges, strategies, and their plan/approach.  </w:t>
      </w:r>
    </w:p>
    <w:p w14:paraId="4EC9C236" w14:textId="77777777" w:rsidR="00C2111A" w:rsidRDefault="00C2111A" w:rsidP="00C2111A">
      <w:pPr>
        <w:ind w:left="720"/>
        <w:jc w:val="both"/>
      </w:pPr>
    </w:p>
    <w:p w14:paraId="3F5ED594" w14:textId="3FC1CB93" w:rsidR="000D57CA" w:rsidRDefault="00C2111A" w:rsidP="00C2111A">
      <w:pPr>
        <w:ind w:left="720"/>
        <w:jc w:val="both"/>
      </w:pPr>
      <w:r>
        <w:t xml:space="preserve">The State anticipates that the interviews may be performed in-person or virtually.  No other individuals from the Offeror’s organization can attend, participate, or observe the interview.  Interviewees may not bring notes or handouts.  Interviewees will be prohibited from making any reference to their submitted cost or fee Proposal.  No substitutes or proxies will be allowed.   Individuals who fail to attend the interview will be given a “0” score, which may jeopardize the Offerors competitiveness.  </w:t>
      </w:r>
    </w:p>
    <w:p w14:paraId="3532A8D7" w14:textId="77777777" w:rsidR="00CF72CE" w:rsidRDefault="00CF72CE" w:rsidP="005165E8">
      <w:pPr>
        <w:jc w:val="both"/>
      </w:pPr>
    </w:p>
    <w:p w14:paraId="2CB38F4D" w14:textId="7931BF08" w:rsidR="00CF72CE" w:rsidRPr="0065467C" w:rsidRDefault="00CF72CE" w:rsidP="00007DE4">
      <w:pPr>
        <w:pStyle w:val="ListParagraph"/>
        <w:numPr>
          <w:ilvl w:val="0"/>
          <w:numId w:val="7"/>
        </w:numPr>
        <w:jc w:val="both"/>
        <w:rPr>
          <w:b/>
          <w:bCs/>
          <w:spacing w:val="20"/>
          <w:sz w:val="24"/>
          <w:szCs w:val="24"/>
        </w:rPr>
      </w:pPr>
      <w:r>
        <w:rPr>
          <w:b/>
          <w:bCs/>
          <w:spacing w:val="20"/>
          <w:sz w:val="24"/>
          <w:szCs w:val="24"/>
        </w:rPr>
        <w:t xml:space="preserve">Clarification Discussions </w:t>
      </w:r>
    </w:p>
    <w:p w14:paraId="63561EAD" w14:textId="4C7DFA07" w:rsidR="0065467C" w:rsidRDefault="00CF72CE" w:rsidP="00CF72CE">
      <w:pPr>
        <w:ind w:left="720"/>
        <w:jc w:val="both"/>
      </w:pPr>
      <w:r>
        <w:t>The RFP Lead may, in the State’s sole discretion, perform clarification discussions with the Offeror(s) to verify and validate that the Proposal will meet the needs of the Agency.  At any time during this period, if it is discovered that the Offeror has not met a mandatory requirement, or has failed to adequately respond to an item below, the State may find the Offeror non-responsive.</w:t>
      </w:r>
    </w:p>
    <w:p w14:paraId="4F846A79" w14:textId="77777777" w:rsidR="00E82F58" w:rsidRPr="00EA527B" w:rsidRDefault="00E82F58" w:rsidP="00203997">
      <w:pPr>
        <w:jc w:val="both"/>
        <w:rPr>
          <w:strike/>
          <w:color w:val="C00000"/>
        </w:rPr>
      </w:pPr>
    </w:p>
    <w:p w14:paraId="5DD758CD" w14:textId="77777777" w:rsidR="00203997" w:rsidRPr="00EA527B" w:rsidRDefault="00203997" w:rsidP="00203997">
      <w:pPr>
        <w:ind w:left="720"/>
        <w:jc w:val="both"/>
        <w:rPr>
          <w:strike/>
          <w:color w:val="C00000"/>
        </w:rPr>
      </w:pPr>
    </w:p>
    <w:p w14:paraId="535193FD" w14:textId="0FA9FFDC" w:rsidR="00CF72CE" w:rsidRDefault="00203997" w:rsidP="00007DE4">
      <w:pPr>
        <w:pStyle w:val="ListParagraph"/>
        <w:numPr>
          <w:ilvl w:val="2"/>
          <w:numId w:val="17"/>
        </w:numPr>
        <w:jc w:val="both"/>
      </w:pPr>
      <w:r>
        <w:t>The Offeror may be required to provide documentation to demonstrate its responsibility.  Failure to provide the requested documentation may result in the Offeror being deemed non-responsible. IDAPA 38.05.01.81.</w:t>
      </w:r>
    </w:p>
    <w:p w14:paraId="1ABE01CC" w14:textId="77777777" w:rsidR="00CC7C62" w:rsidRDefault="00CC7C62" w:rsidP="00CC7C62">
      <w:pPr>
        <w:pStyle w:val="ListParagraph"/>
        <w:ind w:left="1440"/>
        <w:jc w:val="both"/>
      </w:pPr>
    </w:p>
    <w:p w14:paraId="53BCCF1A" w14:textId="65032E13" w:rsidR="00CC7C62" w:rsidRDefault="00CC7C62" w:rsidP="00007DE4">
      <w:pPr>
        <w:pStyle w:val="ListParagraph"/>
        <w:numPr>
          <w:ilvl w:val="2"/>
          <w:numId w:val="17"/>
        </w:numPr>
        <w:jc w:val="both"/>
      </w:pPr>
      <w:r>
        <w:t>If requested, provide any additional documentation that may be requested, which may include a detailed project/work plan, testing and commissioning plan, training, change management plan, safety plan, staffing plan, operational plan, maintenance plans, warranties, bonding and insurance, background checks, etc.</w:t>
      </w:r>
    </w:p>
    <w:p w14:paraId="198CC7CC" w14:textId="77777777" w:rsidR="00203997" w:rsidRDefault="00203997" w:rsidP="00CF72CE">
      <w:pPr>
        <w:ind w:left="720"/>
        <w:jc w:val="both"/>
      </w:pPr>
    </w:p>
    <w:p w14:paraId="58B75CC6" w14:textId="25B9ECD5" w:rsidR="00D75FDA" w:rsidRDefault="00CF72CE" w:rsidP="00804D48">
      <w:pPr>
        <w:ind w:left="720"/>
        <w:jc w:val="both"/>
      </w:pPr>
      <w:r>
        <w:t>The clarification discussion cannot materially alter the Proposal. The State does not expect to negotiate any terms or conditions requested by the Offeror, unless they were submitted by the Offeror prior to the deadline for submitting questions (see Section 1.8), or they provide the State an opportunity to secure more advantageous terms or pricing.</w:t>
      </w:r>
    </w:p>
    <w:p w14:paraId="45EB855F" w14:textId="77777777" w:rsidR="00D75FDA" w:rsidRDefault="00D75FDA" w:rsidP="00CF72CE">
      <w:pPr>
        <w:ind w:left="720"/>
        <w:jc w:val="both"/>
      </w:pPr>
    </w:p>
    <w:p w14:paraId="0105A29B" w14:textId="4E12981A" w:rsidR="00D75FDA" w:rsidRDefault="003E3CB7" w:rsidP="00007DE4">
      <w:pPr>
        <w:pStyle w:val="ListParagraph"/>
        <w:numPr>
          <w:ilvl w:val="0"/>
          <w:numId w:val="7"/>
        </w:numPr>
        <w:jc w:val="both"/>
        <w:rPr>
          <w:b/>
          <w:bCs/>
          <w:spacing w:val="20"/>
          <w:sz w:val="24"/>
          <w:szCs w:val="24"/>
        </w:rPr>
      </w:pPr>
      <w:r>
        <w:rPr>
          <w:b/>
          <w:bCs/>
          <w:spacing w:val="20"/>
          <w:sz w:val="24"/>
          <w:szCs w:val="24"/>
        </w:rPr>
        <w:t>Best-And-Final-Offer (BAFO)</w:t>
      </w:r>
    </w:p>
    <w:p w14:paraId="5DF91EED" w14:textId="6297EE06" w:rsidR="003E3CB7" w:rsidRDefault="003E3CB7" w:rsidP="003E3CB7">
      <w:pPr>
        <w:pStyle w:val="ListParagraph"/>
        <w:jc w:val="both"/>
      </w:pPr>
      <w:r>
        <w:t xml:space="preserve">The State reserves the right to request Best and Final Offers (BAFOs) from Offerors. If BAFOs are requested, the State will issue written instructions to the selected Offerors identifying the scope of the BAFO request and the deadline for submission. Offerors must not modify any aspect of their Proposal except as specifically requested by </w:t>
      </w:r>
      <w:r>
        <w:lastRenderedPageBreak/>
        <w:t>the State. BAFO responses must be submitted in accordance with the instructions provided. Failure to submit a BAFO, if requested, may result in the Offeror’s original Proposal being considered as its final offer.</w:t>
      </w:r>
    </w:p>
    <w:p w14:paraId="66747183" w14:textId="77777777" w:rsidR="003E3CB7" w:rsidRPr="003E3CB7" w:rsidRDefault="003E3CB7" w:rsidP="003E3CB7">
      <w:pPr>
        <w:pStyle w:val="ListParagraph"/>
        <w:jc w:val="both"/>
        <w:rPr>
          <w:spacing w:val="20"/>
          <w:sz w:val="24"/>
          <w:szCs w:val="24"/>
        </w:rPr>
      </w:pPr>
    </w:p>
    <w:p w14:paraId="7E80D27B" w14:textId="31EF05AA" w:rsidR="003E3CB7" w:rsidRDefault="003E3CB7" w:rsidP="00007DE4">
      <w:pPr>
        <w:pStyle w:val="ListParagraph"/>
        <w:numPr>
          <w:ilvl w:val="0"/>
          <w:numId w:val="7"/>
        </w:numPr>
        <w:jc w:val="both"/>
        <w:rPr>
          <w:b/>
          <w:bCs/>
          <w:spacing w:val="20"/>
          <w:sz w:val="24"/>
          <w:szCs w:val="24"/>
        </w:rPr>
      </w:pPr>
      <w:r>
        <w:rPr>
          <w:b/>
          <w:bCs/>
          <w:spacing w:val="20"/>
          <w:sz w:val="24"/>
          <w:szCs w:val="24"/>
        </w:rPr>
        <w:t>Award</w:t>
      </w:r>
    </w:p>
    <w:p w14:paraId="420B885F" w14:textId="2407A8F9" w:rsidR="00D75FDA" w:rsidRDefault="00D75FDA" w:rsidP="00D75FDA">
      <w:pPr>
        <w:pStyle w:val="ListParagraph"/>
        <w:jc w:val="both"/>
      </w:pPr>
      <w:r>
        <w:t>Award of Contract will be made to the responsive, responsible Offeror whose Proposal receives the highest number of total normalized points.</w:t>
      </w:r>
    </w:p>
    <w:p w14:paraId="0A91F911" w14:textId="77777777" w:rsidR="00C20B4A" w:rsidRDefault="00C20B4A" w:rsidP="00CF72CE">
      <w:pPr>
        <w:ind w:left="720"/>
        <w:jc w:val="both"/>
      </w:pPr>
    </w:p>
    <w:p w14:paraId="3C7AB536" w14:textId="485127E8" w:rsidR="00CF72CE" w:rsidRPr="003B74DD" w:rsidRDefault="00CF72CE" w:rsidP="00007DE4">
      <w:pPr>
        <w:pStyle w:val="ListParagraph"/>
        <w:keepNext/>
        <w:numPr>
          <w:ilvl w:val="0"/>
          <w:numId w:val="7"/>
        </w:numPr>
        <w:jc w:val="both"/>
        <w:rPr>
          <w:b/>
          <w:bCs/>
          <w:spacing w:val="20"/>
          <w:sz w:val="24"/>
          <w:szCs w:val="24"/>
        </w:rPr>
      </w:pPr>
      <w:r>
        <w:rPr>
          <w:b/>
          <w:bCs/>
          <w:spacing w:val="20"/>
          <w:sz w:val="24"/>
          <w:szCs w:val="24"/>
        </w:rPr>
        <w:t xml:space="preserve">Resulting Contract </w:t>
      </w:r>
    </w:p>
    <w:p w14:paraId="2B2573B4" w14:textId="7DB02769" w:rsidR="00D75FDA" w:rsidRDefault="00CF72CE" w:rsidP="00D75FDA">
      <w:pPr>
        <w:ind w:left="720"/>
        <w:jc w:val="both"/>
      </w:pPr>
      <w:r>
        <w:t>If the State awards Contract(s) from this solicitation, it will do so by issuing a Contract Purchase Order (CPO) Contract document(s) from Luma, the State’s ERP system.  The State anticipates issuing a single contract from this solicitation, incorporating the Terms and Conditions, Scope of Work, General Requirements, Insurance Requirements, and some or all of the Offeror’s Technical Proposal.</w:t>
      </w:r>
    </w:p>
    <w:p w14:paraId="56D48BFE" w14:textId="77777777" w:rsidR="00D75FDA" w:rsidRDefault="00D75FDA" w:rsidP="00D75FDA">
      <w:pPr>
        <w:ind w:left="720"/>
        <w:jc w:val="both"/>
      </w:pPr>
    </w:p>
    <w:p w14:paraId="072FBC95" w14:textId="59619CF9" w:rsidR="00D75FDA" w:rsidRDefault="00D75FDA" w:rsidP="00D75FDA">
      <w:pPr>
        <w:ind w:left="720"/>
        <w:jc w:val="both"/>
      </w:pPr>
    </w:p>
    <w:p w14:paraId="3F877EEE" w14:textId="77777777" w:rsidR="00C04E4E" w:rsidRDefault="00C04E4E" w:rsidP="00702E11">
      <w:pPr>
        <w:jc w:val="both"/>
      </w:pPr>
    </w:p>
    <w:p w14:paraId="48FCF755" w14:textId="77777777" w:rsidR="00C04E4E" w:rsidRDefault="00C04E4E" w:rsidP="00702E11">
      <w:pPr>
        <w:jc w:val="both"/>
      </w:pPr>
    </w:p>
    <w:p w14:paraId="5A98493B" w14:textId="77777777" w:rsidR="00C04E4E" w:rsidRDefault="00C04E4E" w:rsidP="00702E11">
      <w:pPr>
        <w:jc w:val="both"/>
      </w:pPr>
    </w:p>
    <w:p w14:paraId="347501E8" w14:textId="77777777" w:rsidR="00C04E4E" w:rsidRDefault="00C04E4E" w:rsidP="00702E11">
      <w:pPr>
        <w:jc w:val="both"/>
      </w:pPr>
    </w:p>
    <w:p w14:paraId="5E0D9EB1" w14:textId="77777777" w:rsidR="00C04E4E" w:rsidRDefault="00C04E4E" w:rsidP="00702E11">
      <w:pPr>
        <w:jc w:val="both"/>
      </w:pPr>
    </w:p>
    <w:p w14:paraId="18CEE690" w14:textId="77777777" w:rsidR="00C04E4E" w:rsidRDefault="00C04E4E" w:rsidP="00702E11">
      <w:pPr>
        <w:jc w:val="both"/>
      </w:pPr>
    </w:p>
    <w:p w14:paraId="47FF2BA4" w14:textId="77777777" w:rsidR="00C04E4E" w:rsidRDefault="00C04E4E" w:rsidP="00702E11">
      <w:pPr>
        <w:jc w:val="both"/>
      </w:pPr>
    </w:p>
    <w:p w14:paraId="49CBB36B" w14:textId="77777777" w:rsidR="00C04E4E" w:rsidRDefault="00C04E4E" w:rsidP="00702E11">
      <w:pPr>
        <w:jc w:val="both"/>
      </w:pPr>
    </w:p>
    <w:p w14:paraId="1E124AC2" w14:textId="77777777" w:rsidR="00C04E4E" w:rsidRDefault="00C04E4E" w:rsidP="00702E11">
      <w:pPr>
        <w:jc w:val="both"/>
      </w:pPr>
    </w:p>
    <w:p w14:paraId="02FE2643" w14:textId="77777777" w:rsidR="00C04E4E" w:rsidRDefault="00C04E4E" w:rsidP="00702E11">
      <w:pPr>
        <w:jc w:val="both"/>
      </w:pPr>
    </w:p>
    <w:p w14:paraId="6C5FAA2C" w14:textId="77777777" w:rsidR="00C04E4E" w:rsidRDefault="00C04E4E">
      <w:pPr>
        <w:rPr>
          <w:spacing w:val="20"/>
          <w:sz w:val="48"/>
          <w:szCs w:val="48"/>
        </w:rPr>
      </w:pPr>
      <w:r>
        <w:rPr>
          <w:spacing w:val="20"/>
          <w:sz w:val="48"/>
          <w:szCs w:val="48"/>
        </w:rPr>
        <w:br w:type="page"/>
      </w:r>
    </w:p>
    <w:p w14:paraId="0F3E2141" w14:textId="11D0BF59" w:rsidR="00006FE2" w:rsidRPr="00FD0BD2" w:rsidRDefault="00006FE2" w:rsidP="00006FE2">
      <w:pPr>
        <w:jc w:val="center"/>
        <w:rPr>
          <w:spacing w:val="20"/>
          <w:sz w:val="48"/>
          <w:szCs w:val="48"/>
        </w:rPr>
      </w:pPr>
      <w:r>
        <w:rPr>
          <w:spacing w:val="20"/>
          <w:sz w:val="48"/>
          <w:szCs w:val="48"/>
        </w:rPr>
        <w:lastRenderedPageBreak/>
        <w:t>EXHIBIT 1</w:t>
      </w:r>
    </w:p>
    <w:p w14:paraId="5D8E743B" w14:textId="77777777" w:rsidR="00006FE2" w:rsidRPr="00FD0BD2" w:rsidRDefault="00006FE2" w:rsidP="00006FE2">
      <w:pPr>
        <w:shd w:val="clear" w:color="auto" w:fill="F2F2F2" w:themeFill="background1" w:themeFillShade="F2"/>
        <w:jc w:val="center"/>
        <w:rPr>
          <w:b/>
          <w:bCs/>
          <w:spacing w:val="20"/>
          <w:sz w:val="36"/>
          <w:szCs w:val="36"/>
        </w:rPr>
      </w:pPr>
      <w:r>
        <w:rPr>
          <w:b/>
          <w:bCs/>
          <w:spacing w:val="20"/>
          <w:sz w:val="36"/>
          <w:szCs w:val="36"/>
        </w:rPr>
        <w:t xml:space="preserve">Definitions </w:t>
      </w:r>
    </w:p>
    <w:p w14:paraId="3D0DEF6C" w14:textId="77777777" w:rsidR="00006FE2" w:rsidRDefault="00006FE2" w:rsidP="00006FE2">
      <w:pPr>
        <w:spacing w:before="60" w:after="240"/>
      </w:pPr>
      <w:r>
        <w:rPr>
          <w:i/>
          <w:iCs/>
        </w:rPr>
        <w:t>This Exhibit defines terms used throughout this RFP and, where applicable, the resulting Contract. Where a term is defined in federal statute or regulation, the citation is provided. Where a term is defined in ICOA policy, the policy is referenced. Terms not defined below carry their ordinary meaning.</w:t>
      </w:r>
    </w:p>
    <w:p w14:paraId="5AA6E2F7" w14:textId="77777777" w:rsidR="00006FE2" w:rsidRDefault="00006FE2" w:rsidP="00006FE2">
      <w:pPr>
        <w:jc w:val="cente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745"/>
      </w:tblGrid>
      <w:tr w:rsidR="00006FE2" w:rsidRPr="00962F12" w14:paraId="6E7432A0" w14:textId="77777777" w:rsidTr="002C7643">
        <w:trPr>
          <w:tblHeader/>
        </w:trPr>
        <w:tc>
          <w:tcPr>
            <w:tcW w:w="2600" w:type="dxa"/>
            <w:tcBorders>
              <w:top w:val="single" w:sz="4" w:space="0" w:color="BFBFBF"/>
              <w:left w:val="single" w:sz="4" w:space="0" w:color="BFBFBF"/>
              <w:bottom w:val="single" w:sz="4" w:space="0" w:color="BFBFBF"/>
              <w:right w:val="single" w:sz="4" w:space="0" w:color="BFBFBF"/>
            </w:tcBorders>
            <w:shd w:val="clear" w:color="auto" w:fill="404040" w:themeFill="text1" w:themeFillTint="BF"/>
            <w:tcMar>
              <w:top w:w="100" w:type="dxa"/>
              <w:left w:w="140" w:type="dxa"/>
              <w:bottom w:w="100" w:type="dxa"/>
              <w:right w:w="140" w:type="dxa"/>
            </w:tcMar>
          </w:tcPr>
          <w:p w14:paraId="4F5E0AAD" w14:textId="77777777" w:rsidR="00006FE2" w:rsidRDefault="00006FE2" w:rsidP="002C7643">
            <w:pPr>
              <w:jc w:val="center"/>
            </w:pPr>
            <w:r>
              <w:rPr>
                <w:b/>
                <w:bCs/>
                <w:color w:val="FFFFFF"/>
              </w:rPr>
              <w:t>Term</w:t>
            </w:r>
          </w:p>
        </w:tc>
        <w:tc>
          <w:tcPr>
            <w:tcW w:w="7745" w:type="dxa"/>
            <w:tcBorders>
              <w:top w:val="single" w:sz="4" w:space="0" w:color="BFBFBF"/>
              <w:left w:val="single" w:sz="4" w:space="0" w:color="BFBFBF"/>
              <w:bottom w:val="single" w:sz="4" w:space="0" w:color="BFBFBF"/>
              <w:right w:val="single" w:sz="4" w:space="0" w:color="BFBFBF"/>
            </w:tcBorders>
            <w:shd w:val="clear" w:color="auto" w:fill="404040" w:themeFill="text1" w:themeFillTint="BF"/>
            <w:tcMar>
              <w:top w:w="100" w:type="dxa"/>
              <w:left w:w="140" w:type="dxa"/>
              <w:bottom w:w="100" w:type="dxa"/>
              <w:right w:w="140" w:type="dxa"/>
            </w:tcMar>
          </w:tcPr>
          <w:p w14:paraId="65CC6CBB" w14:textId="77777777" w:rsidR="00006FE2" w:rsidRPr="00962F12" w:rsidRDefault="00006FE2" w:rsidP="002C7643">
            <w:pPr>
              <w:tabs>
                <w:tab w:val="left" w:pos="1365"/>
                <w:tab w:val="center" w:pos="3732"/>
              </w:tabs>
              <w:contextualSpacing/>
              <w:rPr>
                <w:b/>
                <w:bCs/>
                <w:color w:val="FFFFFF" w:themeColor="background1"/>
              </w:rPr>
            </w:pPr>
            <w:r>
              <w:rPr>
                <w:b/>
                <w:bCs/>
                <w:color w:val="FFFFFF" w:themeColor="background1"/>
              </w:rPr>
              <w:tab/>
            </w:r>
            <w:r>
              <w:rPr>
                <w:b/>
                <w:bCs/>
                <w:color w:val="FFFFFF" w:themeColor="background1"/>
              </w:rPr>
              <w:tab/>
              <w:t>Definition</w:t>
            </w:r>
          </w:p>
        </w:tc>
      </w:tr>
      <w:tr w:rsidR="00006FE2" w14:paraId="4E44E442"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AC70527" w14:textId="77777777" w:rsidR="00006FE2" w:rsidRDefault="00006FE2" w:rsidP="002C7643">
            <w:pPr>
              <w:spacing w:before="40" w:after="40"/>
            </w:pPr>
            <w:r>
              <w:rPr>
                <w:b/>
                <w:bCs/>
              </w:rPr>
              <w:t>Administration for Community Living (ACL)</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01DB210" w14:textId="77777777" w:rsidR="00006FE2" w:rsidRDefault="00006FE2" w:rsidP="002C7643">
            <w:pPr>
              <w:spacing w:before="40" w:after="40"/>
            </w:pPr>
            <w:r>
              <w:t>The federal agency within the U.S. Department of Health and Human Services responsible for advancing the concerns and interests of older people and their caregivers. ACL works with and through the Aging Services Network to promote the development of a comprehensive and coordinated system of home and community-based long-term care. The Administration on Aging (AoA) is part of ACL and is headed by the Assistant Secretary for Aging.</w:t>
            </w:r>
          </w:p>
        </w:tc>
      </w:tr>
      <w:tr w:rsidR="00006FE2" w14:paraId="2F3EB544"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3F586A7" w14:textId="77777777" w:rsidR="00006FE2" w:rsidRDefault="00006FE2" w:rsidP="002C7643">
            <w:pPr>
              <w:spacing w:before="40" w:after="40"/>
            </w:pPr>
            <w:r>
              <w:rPr>
                <w:b/>
                <w:bCs/>
              </w:rPr>
              <w:t>Administrative (Admin) Cost</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D3B83DE" w14:textId="7D709C74" w:rsidR="00006FE2" w:rsidRDefault="00006FE2" w:rsidP="002C7643">
            <w:pPr>
              <w:spacing w:before="40" w:after="40"/>
            </w:pPr>
            <w:r>
              <w:t>One of the three federal SCSEP cost categories. Covers allowable program administration costs, subject to the federally established administrative cost cap. The federal Administration cost cap is fifteen percent (15%) of total funding, of which nine percent (9%) is allocated to the Contractor. Positions classified as Administration in Submittal Form C, Section 1 (Staffing) include program management, fiscal administration, and contract management roles. See Exhibit 4, Section 10 (Budget Management) and Section 8 (Staffing Commitments).</w:t>
            </w:r>
          </w:p>
        </w:tc>
      </w:tr>
      <w:tr w:rsidR="00006FE2" w14:paraId="28527E6F"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3BCAE79" w14:textId="77777777" w:rsidR="00006FE2" w:rsidRDefault="00006FE2" w:rsidP="002C7643">
            <w:pPr>
              <w:spacing w:before="40" w:after="40"/>
            </w:pPr>
            <w:r>
              <w:rPr>
                <w:b/>
                <w:bCs/>
              </w:rPr>
              <w:t>Aging and Disability Resource Center (ADRC)</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87E1759" w14:textId="77777777" w:rsidR="00006FE2" w:rsidRDefault="00006FE2" w:rsidP="002C7643">
            <w:pPr>
              <w:spacing w:before="40" w:after="40"/>
            </w:pPr>
            <w:r>
              <w:t>A “No Wrong Door” point of contact for support and service resources for older individuals and people with disabilities, intended to help them make their own lifespan care choices.</w:t>
            </w:r>
          </w:p>
        </w:tc>
      </w:tr>
      <w:tr w:rsidR="00006FE2" w14:paraId="311B1111"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FC93EA3" w14:textId="77777777" w:rsidR="00006FE2" w:rsidRDefault="00006FE2" w:rsidP="002C7643">
            <w:pPr>
              <w:spacing w:before="40" w:after="40"/>
            </w:pPr>
            <w:r>
              <w:rPr>
                <w:b/>
                <w:bCs/>
              </w:rPr>
              <w:t>Americans with Disabilities Act (ADA)</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674FD02" w14:textId="77777777" w:rsidR="00006FE2" w:rsidRDefault="00006FE2" w:rsidP="002C7643">
            <w:pPr>
              <w:spacing w:before="40" w:after="40"/>
            </w:pPr>
            <w:r>
              <w:t>The federal civil rights law (42 U.S.C. § 12101 et seq.) prohibiting discrimination against individuals with disabilities. For digital accessibility obligations under this Contract, see Exhibit 3, Section 9.</w:t>
            </w:r>
          </w:p>
        </w:tc>
      </w:tr>
      <w:tr w:rsidR="00006FE2" w14:paraId="52571590"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66A7CC2" w14:textId="77777777" w:rsidR="00006FE2" w:rsidRDefault="00006FE2" w:rsidP="002C7643">
            <w:pPr>
              <w:spacing w:before="40" w:after="40"/>
            </w:pPr>
            <w:r>
              <w:rPr>
                <w:b/>
                <w:bCs/>
              </w:rPr>
              <w:t>Area Agency on Aging (AAA)</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E411888" w14:textId="77777777" w:rsidR="00006FE2" w:rsidRDefault="00006FE2" w:rsidP="002C7643">
            <w:pPr>
              <w:spacing w:before="40" w:after="40"/>
            </w:pPr>
            <w:r>
              <w:t>An agency designated by the State to implement evidence-based programs that assist older individuals and their family caregivers in learning about and making behavioral changes intended to reduce the risk of injury, disease, and disability among older individuals. [OAA Title III § 306(7)(C)].</w:t>
            </w:r>
          </w:p>
        </w:tc>
      </w:tr>
      <w:tr w:rsidR="00006FE2" w14:paraId="25A41A97"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1E30E66" w14:textId="77777777" w:rsidR="00006FE2" w:rsidRDefault="00006FE2" w:rsidP="002C7643">
            <w:pPr>
              <w:spacing w:before="40" w:after="40"/>
            </w:pPr>
            <w:r>
              <w:rPr>
                <w:b/>
                <w:bCs/>
              </w:rPr>
              <w:t>Authorized Position (Authorized Slot)</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EAC5E22" w14:textId="77777777" w:rsidR="00006FE2" w:rsidRDefault="00006FE2" w:rsidP="002C7643">
            <w:pPr>
              <w:spacing w:before="40" w:after="40"/>
            </w:pPr>
            <w:r>
              <w:t>The number of authorized Participant positions is derived by dividing the total amount of funds appropriated during a program year by the national average unit cost per enrollee for that program year, as determined by USDOL. The national average unit cost includes all administration costs, other enrollee costs, and enrollee wage and fringe benefit costs. The Grantee’s allotment divided by the national unit cost yields the total number of authorized positions for each grant agreement.</w:t>
            </w:r>
          </w:p>
        </w:tc>
      </w:tr>
      <w:tr w:rsidR="00006FE2" w14:paraId="6B35030B"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39CDD56" w14:textId="77777777" w:rsidR="00006FE2" w:rsidRDefault="00006FE2" w:rsidP="002C7643">
            <w:pPr>
              <w:spacing w:before="40" w:after="40"/>
            </w:pPr>
            <w:r>
              <w:rPr>
                <w:b/>
                <w:bCs/>
              </w:rPr>
              <w:t>Code of Federal Regulations (CFR)</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3E3F4D9" w14:textId="77777777" w:rsidR="00006FE2" w:rsidRDefault="00006FE2" w:rsidP="002C7643">
            <w:pPr>
              <w:spacing w:before="40" w:after="40"/>
            </w:pPr>
            <w:r>
              <w:t>The codification of the general and permanent rules published in the Federal Register by the executive departments and agencies of the federal government. SCSEP is governed by 20 CFR Part 641.</w:t>
            </w:r>
          </w:p>
        </w:tc>
      </w:tr>
      <w:tr w:rsidR="00006FE2" w14:paraId="559C2FBA"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BC2B182" w14:textId="77777777" w:rsidR="00006FE2" w:rsidRDefault="00006FE2" w:rsidP="002C7643">
            <w:pPr>
              <w:spacing w:before="40" w:after="40"/>
            </w:pPr>
            <w:r>
              <w:rPr>
                <w:b/>
                <w:bCs/>
              </w:rPr>
              <w:lastRenderedPageBreak/>
              <w:t>Community Service Assignment (CSA)</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720B373" w14:textId="77777777" w:rsidR="00006FE2" w:rsidRDefault="00006FE2" w:rsidP="002C7643">
            <w:pPr>
              <w:spacing w:before="40" w:after="40"/>
            </w:pPr>
            <w:r>
              <w:t>A publicly funded effort designed to offer employment, training, and/or placement services that enhance an individual’s employability. As used in the SCSEP context, the term includes SCSEP and WIOA or similar legislation and state or local programs of a similar nature.</w:t>
            </w:r>
          </w:p>
          <w:p w14:paraId="2C9119EC" w14:textId="77777777" w:rsidR="00006FE2" w:rsidRDefault="00006FE2" w:rsidP="002C7643">
            <w:pPr>
              <w:spacing w:before="80" w:after="40"/>
            </w:pPr>
            <w:r>
              <w:t>A CSA is also the qualifying agency or non-profit location where a Participant is assigned to gain the training and skills needed to move into unsubsidized employment. Eligible assignment activities include social, health, welfare, and educational services (particularly literacy tutoring); legal assistance and other counseling services, including tax counseling and financial counseling; library, recreational, day care, and other similar services; conservation, maintenance, or restoration of natural resources; community betterment or beautification; pollution control and environmental quality efforts; weatherization activities; economic development; and intergenerational projects. Excluded activities include building and highway construction (except that which normally is performed by the project sponsor) and work that primarily benefits private, for-profit organizations. See OAA Title V § 518(a)(1) and 20 CFR Part 641.140.</w:t>
            </w:r>
          </w:p>
        </w:tc>
      </w:tr>
      <w:tr w:rsidR="00006FE2" w14:paraId="2971F468"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3DFC6DD" w14:textId="77777777" w:rsidR="00006FE2" w:rsidRDefault="00006FE2" w:rsidP="002C7643">
            <w:pPr>
              <w:spacing w:before="40" w:after="40"/>
            </w:pPr>
            <w:r>
              <w:rPr>
                <w:b/>
                <w:bCs/>
              </w:rPr>
              <w:t>Contractor (Subgrantee)</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ADCF364" w14:textId="77777777" w:rsidR="00006FE2" w:rsidRDefault="00006FE2" w:rsidP="002C7643">
            <w:pPr>
              <w:spacing w:before="40" w:after="40"/>
            </w:pPr>
            <w:r>
              <w:t>The legal entity awarded a Contract under this RFP. ICOA, as the Grantee, is the entity accountable to USDOL; the Contractor (also referred to in federal regulations as the Subgrantee) is accountable to ICOA for the use of funds and the operation of SCSEP in accordance with this Contract.</w:t>
            </w:r>
          </w:p>
        </w:tc>
      </w:tr>
      <w:tr w:rsidR="00006FE2" w14:paraId="5877F722"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3BA12A6" w14:textId="77777777" w:rsidR="00006FE2" w:rsidRDefault="00006FE2" w:rsidP="002C7643">
            <w:pPr>
              <w:spacing w:before="40" w:after="40"/>
            </w:pPr>
            <w:r>
              <w:rPr>
                <w:b/>
                <w:bCs/>
              </w:rPr>
              <w:t>Corrective Action Plan (CAP)</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46A2E1D" w14:textId="77777777" w:rsidR="00006FE2" w:rsidRDefault="00006FE2" w:rsidP="002C7643">
            <w:pPr>
              <w:spacing w:before="40" w:after="40"/>
            </w:pPr>
            <w:r>
              <w:t>A written plan required from the Contractor when a performance measure is not being met. The CAP must identify the measure(s) at risk, root-cause analysis, and concrete steps and timelines to return to compliance. See Exhibit 4, Section 15.</w:t>
            </w:r>
          </w:p>
        </w:tc>
      </w:tr>
      <w:tr w:rsidR="00006FE2" w14:paraId="1B7501F1"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E7D60D6" w14:textId="77777777" w:rsidR="00006FE2" w:rsidRDefault="00006FE2" w:rsidP="002C7643">
            <w:pPr>
              <w:spacing w:before="40" w:after="40"/>
            </w:pPr>
            <w:r>
              <w:rPr>
                <w:b/>
                <w:bCs/>
              </w:rPr>
              <w:t>Data Errors</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AF8F251" w14:textId="77777777" w:rsidR="00006FE2" w:rsidRDefault="00006FE2" w:rsidP="002C7643">
            <w:pPr>
              <w:spacing w:before="40" w:after="40"/>
            </w:pPr>
            <w:r>
              <w:t>Errors that could have negative impact on data entered into GPMS. These must be cleared by the end of each quarter to ensure correct data.</w:t>
            </w:r>
          </w:p>
        </w:tc>
      </w:tr>
      <w:tr w:rsidR="00006FE2" w14:paraId="174E6831"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2D83F55" w14:textId="77777777" w:rsidR="00006FE2" w:rsidRDefault="00006FE2" w:rsidP="002C7643">
            <w:pPr>
              <w:spacing w:before="40" w:after="40"/>
            </w:pPr>
            <w:r>
              <w:rPr>
                <w:b/>
                <w:bCs/>
              </w:rPr>
              <w:t>Data Quality Reports</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D029657" w14:textId="77777777" w:rsidR="00006FE2" w:rsidRDefault="00006FE2" w:rsidP="002C7643">
            <w:pPr>
              <w:spacing w:before="40" w:after="40"/>
            </w:pPr>
            <w:r>
              <w:t>Reports in GPMS that indicate data errors requiring correction.</w:t>
            </w:r>
          </w:p>
        </w:tc>
      </w:tr>
      <w:tr w:rsidR="00006FE2" w14:paraId="46E6CEF7"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5FFD886" w14:textId="77777777" w:rsidR="00006FE2" w:rsidRDefault="00006FE2" w:rsidP="002C7643">
            <w:pPr>
              <w:spacing w:before="40" w:after="40"/>
            </w:pPr>
            <w:r>
              <w:rPr>
                <w:b/>
                <w:bCs/>
              </w:rPr>
              <w:t>Disability</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322536A" w14:textId="77777777" w:rsidR="00006FE2" w:rsidRDefault="00006FE2" w:rsidP="002C7643">
            <w:pPr>
              <w:spacing w:before="40" w:after="40"/>
            </w:pPr>
            <w:r>
              <w:t>A physical or mental impairment of an individual that substantially limits one or more major life activities; a record of such impairment; or being regarded as having such an impairment. [29 CFR Part 32].</w:t>
            </w:r>
          </w:p>
        </w:tc>
      </w:tr>
      <w:tr w:rsidR="00006FE2" w14:paraId="2792FD30"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F9EC22F" w14:textId="77777777" w:rsidR="00006FE2" w:rsidRDefault="00006FE2" w:rsidP="002C7643">
            <w:pPr>
              <w:spacing w:before="40" w:after="40"/>
            </w:pPr>
            <w:r>
              <w:rPr>
                <w:b/>
                <w:bCs/>
              </w:rPr>
              <w:t>Durational Limits</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88C407E" w14:textId="77777777" w:rsidR="00006FE2" w:rsidRDefault="00006FE2" w:rsidP="002C7643">
            <w:pPr>
              <w:spacing w:before="40" w:after="40"/>
            </w:pPr>
            <w:r>
              <w:t>The SCSEP Participant duration is 48 months. The average participation for all enrollees is capped at 27 months. An extension of the durational limit is possible in Idaho if the Participant meets the qualifications under ICOA’s Durational Limits Policy.</w:t>
            </w:r>
          </w:p>
        </w:tc>
      </w:tr>
      <w:tr w:rsidR="00006FE2" w14:paraId="744861EC"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D07E4FE" w14:textId="77777777" w:rsidR="00006FE2" w:rsidRDefault="00006FE2" w:rsidP="002C7643">
            <w:pPr>
              <w:spacing w:before="40" w:after="40"/>
            </w:pPr>
            <w:r>
              <w:rPr>
                <w:b/>
                <w:bCs/>
              </w:rPr>
              <w:t>Durational Limit Waiver</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2E8B3D9" w14:textId="77777777" w:rsidR="00006FE2" w:rsidRDefault="00006FE2" w:rsidP="002C7643">
            <w:pPr>
              <w:spacing w:before="40" w:after="40"/>
            </w:pPr>
            <w:r>
              <w:t>A request from the Contractor for a one-year extension for a qualifying Participant who has reached or is approaching the 48-month maximum. The waiver must be renewed annually if the Participant continues to be eligible.</w:t>
            </w:r>
          </w:p>
        </w:tc>
      </w:tr>
      <w:tr w:rsidR="00006FE2" w14:paraId="62E1EDD2"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7E18FA0" w14:textId="77777777" w:rsidR="00006FE2" w:rsidRDefault="00006FE2" w:rsidP="002C7643">
            <w:pPr>
              <w:spacing w:before="40" w:after="40"/>
            </w:pPr>
            <w:r>
              <w:rPr>
                <w:b/>
                <w:bCs/>
              </w:rPr>
              <w:t>Eligible Individual</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34FAE63" w14:textId="77777777" w:rsidR="00006FE2" w:rsidRDefault="00006FE2" w:rsidP="002C7643">
            <w:pPr>
              <w:spacing w:before="40" w:after="40"/>
            </w:pPr>
            <w:r>
              <w:t>Any person who is at least 55 years old, unemployed (as defined in 20 CFR § 641.140), and a member of a family with an income that does not exceed 125 percent of the family income levels prepared by the U.S. Department of Health and Human Services and approved by OMB (federal poverty guidelines). See 20 CFR Part 641 § 500.</w:t>
            </w:r>
          </w:p>
        </w:tc>
      </w:tr>
      <w:tr w:rsidR="00006FE2" w14:paraId="31CF2E52"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06D73AC" w14:textId="77777777" w:rsidR="00006FE2" w:rsidRDefault="00006FE2" w:rsidP="002C7643">
            <w:pPr>
              <w:spacing w:before="40" w:after="40"/>
            </w:pPr>
            <w:r>
              <w:rPr>
                <w:b/>
                <w:bCs/>
              </w:rPr>
              <w:lastRenderedPageBreak/>
              <w:t>Eligible Host Agency</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1FB53EB" w14:textId="77777777" w:rsidR="00006FE2" w:rsidRDefault="00006FE2" w:rsidP="002C7643">
            <w:pPr>
              <w:spacing w:before="40" w:after="40"/>
            </w:pPr>
            <w:r>
              <w:t>An organization legally capable of receiving and using federal funds under the Older Americans Act and entering into a grant or other agreement with USDOL to carry out the provisions of Title V. See OAA Title V § 502(b)(1).</w:t>
            </w:r>
          </w:p>
        </w:tc>
      </w:tr>
      <w:tr w:rsidR="00006FE2" w14:paraId="5C4C29F7"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430D25B" w14:textId="77777777" w:rsidR="00006FE2" w:rsidRDefault="00006FE2" w:rsidP="002C7643">
            <w:pPr>
              <w:spacing w:before="40" w:after="40"/>
            </w:pPr>
            <w:r>
              <w:rPr>
                <w:b/>
                <w:bCs/>
              </w:rPr>
              <w:t>Enrollee</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002F3B5" w14:textId="77777777" w:rsidR="00006FE2" w:rsidRDefault="00006FE2" w:rsidP="002C7643">
            <w:pPr>
              <w:spacing w:before="40" w:after="40"/>
            </w:pPr>
            <w:r>
              <w:t>An individual who has been determined eligible for the program and is enrolled. An enrollee becomes a Participant once assigned a Community Service Assignment.</w:t>
            </w:r>
          </w:p>
        </w:tc>
      </w:tr>
      <w:tr w:rsidR="00006FE2" w14:paraId="2F62A169"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0F2BFF2" w14:textId="77777777" w:rsidR="00006FE2" w:rsidRDefault="00006FE2" w:rsidP="002C7643">
            <w:pPr>
              <w:spacing w:before="40" w:after="40"/>
            </w:pPr>
            <w:r>
              <w:rPr>
                <w:b/>
                <w:bCs/>
              </w:rPr>
              <w:t>Enrollee Cost</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BBA913D" w14:textId="4EBE262B" w:rsidR="00006FE2" w:rsidRDefault="00006FE2" w:rsidP="002C7643">
            <w:pPr>
              <w:spacing w:before="40" w:after="40"/>
            </w:pPr>
            <w:r>
              <w:t>One of the three federal SCSEP cost categories. Covers Participant wages, Participant fringe benefits, and workers' compensation. Enrollee Costs are paid from the federal allocation but are excluded from the Total Annual Operating Cost calculated in Submittal Form C, Section 5, because they are formula-driven (minimum wage × 20 hours/week × 52 weeks × authorized slots) and identical across all proposals.</w:t>
            </w:r>
          </w:p>
        </w:tc>
      </w:tr>
      <w:tr w:rsidR="00006FE2" w14:paraId="238A78B9"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5D70139" w14:textId="77777777" w:rsidR="00006FE2" w:rsidRDefault="00006FE2" w:rsidP="002C7643">
            <w:pPr>
              <w:spacing w:before="40" w:after="40"/>
            </w:pPr>
            <w:r>
              <w:rPr>
                <w:b/>
                <w:bCs/>
              </w:rPr>
              <w:t>Exit</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456DDDE" w14:textId="77777777" w:rsidR="00006FE2" w:rsidRDefault="00006FE2" w:rsidP="002C7643">
            <w:pPr>
              <w:spacing w:before="40" w:after="40"/>
            </w:pPr>
            <w:r>
              <w:t>The point at which a Participant leaves SCSEP for any reason.</w:t>
            </w:r>
          </w:p>
        </w:tc>
      </w:tr>
      <w:tr w:rsidR="00006FE2" w14:paraId="4751F7AD"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2461A57" w14:textId="77777777" w:rsidR="00006FE2" w:rsidRDefault="00006FE2" w:rsidP="002C7643">
            <w:pPr>
              <w:spacing w:before="40" w:after="40"/>
            </w:pPr>
            <w:r>
              <w:rPr>
                <w:b/>
                <w:bCs/>
              </w:rPr>
              <w:t>Follow-ups</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66D39DF" w14:textId="77777777" w:rsidR="00006FE2" w:rsidRDefault="00006FE2" w:rsidP="002C7643">
            <w:pPr>
              <w:spacing w:before="40" w:after="40"/>
            </w:pPr>
            <w:r>
              <w:t>Contacts that must be documented in GPMS after a Participant exits to unsubsidized employment. GPMS generates a report listing required follow-ups that must be completed within federally established timeframes.</w:t>
            </w:r>
          </w:p>
        </w:tc>
      </w:tr>
      <w:tr w:rsidR="00081A7D" w14:paraId="601C1380"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60C7B25" w14:textId="52D4B9B8" w:rsidR="00081A7D" w:rsidRDefault="00081A7D" w:rsidP="002C7643">
            <w:pPr>
              <w:spacing w:before="40" w:after="40"/>
              <w:rPr>
                <w:b/>
                <w:bCs/>
              </w:rPr>
            </w:pPr>
            <w:r>
              <w:rPr>
                <w:b/>
                <w:bCs/>
              </w:rPr>
              <w:t>Full-Time Annual Salary</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7DCE3CE" w14:textId="4DB7BBB9" w:rsidR="00081A7D" w:rsidRDefault="00081A7D" w:rsidP="002C7643">
            <w:pPr>
              <w:spacing w:before="40" w:after="40"/>
            </w:pPr>
            <w:r>
              <w:t>The loaded cost of one (1.0) FTE for a named position, inclusive of base salary, employer payroll taxes (Social Security, Medicare, federal and state unemployment), workers' compensation insurance, employer-paid health and welfare benefits, retirement plan contributions, and any other employer-borne employee benefit costs charged in accordance with 2 CFR 200.431. Entered by the Offeror in Submittal Form C, Section 1 (Staffing); must reflect the Contractor's actual loaded cost for the named position. See Exhibit 4, Section 8 (Staffing Commitments).</w:t>
            </w:r>
          </w:p>
        </w:tc>
      </w:tr>
      <w:tr w:rsidR="00006FE2" w14:paraId="52BDCA0E"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DCF99FA" w14:textId="77777777" w:rsidR="00006FE2" w:rsidRDefault="00006FE2" w:rsidP="002C7643">
            <w:pPr>
              <w:spacing w:before="40" w:after="40"/>
              <w:rPr>
                <w:b/>
                <w:bCs/>
              </w:rPr>
            </w:pPr>
            <w:r>
              <w:rPr>
                <w:b/>
                <w:bCs/>
              </w:rPr>
              <w:t>Full-Time Equivalent (FTE)</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052C78B" w14:textId="423620B9" w:rsidR="00006FE2" w:rsidRPr="00562A8A" w:rsidRDefault="00006FE2" w:rsidP="002C7643">
            <w:pPr>
              <w:spacing w:before="40" w:after="40"/>
            </w:pPr>
            <w:r>
              <w:t>The proportion of a full-time work schedule that an employee dedicates to performing services under the Contract. One (1.0) FTE represents a full-time schedule of forty (40) hours per week, or two thousand eighty (2,080) hours per year; fractional values represent the proportional share allocated to the Contract (for example, 0.50 FTE equals twenty (20) hours per week, and 0.25 FTE equals ten (10) hours per week). FTE values entered in Submittal Form C, Section 1 (Staffing) reflect the time committed to this Contract for each named position, irrespective of whether the same employee performs other work for the Contractor. See Exhibit 4, Section 8 (Staffing Commitments).</w:t>
            </w:r>
          </w:p>
        </w:tc>
      </w:tr>
      <w:tr w:rsidR="00006FE2" w14:paraId="47769A56"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5FD5B85" w14:textId="77777777" w:rsidR="00006FE2" w:rsidRDefault="00006FE2" w:rsidP="002C7643">
            <w:pPr>
              <w:spacing w:before="40" w:after="40"/>
            </w:pPr>
            <w:r>
              <w:rPr>
                <w:b/>
                <w:bCs/>
              </w:rPr>
              <w:t>Grantee</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3ACCE63" w14:textId="77777777" w:rsidR="00006FE2" w:rsidRDefault="00006FE2" w:rsidP="002C7643">
            <w:pPr>
              <w:spacing w:before="40" w:after="40"/>
            </w:pPr>
            <w:r>
              <w:t>An eligible organization that has entered into a grant agreement with USDOL. ICOA is the Grantee for the state-administered SCSEP in Idaho.</w:t>
            </w:r>
          </w:p>
        </w:tc>
      </w:tr>
      <w:tr w:rsidR="00006FE2" w14:paraId="3AC50A13"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C0B9E26" w14:textId="77777777" w:rsidR="00006FE2" w:rsidRDefault="00006FE2" w:rsidP="002C7643">
            <w:pPr>
              <w:spacing w:before="40" w:after="40"/>
            </w:pPr>
            <w:r>
              <w:rPr>
                <w:b/>
                <w:bCs/>
              </w:rPr>
              <w:t>Grantee Performance Management System (GPMS)</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4BEE787" w14:textId="77777777" w:rsidR="00006FE2" w:rsidRDefault="00006FE2" w:rsidP="002C7643">
            <w:pPr>
              <w:spacing w:before="40" w:after="40"/>
            </w:pPr>
            <w:r>
              <w:t>USDOL’s performance management system used for SCSEP Participant data entry, reporting, and performance measurement. All Participant, enrollment, assignment, IEP, exit, and follow-up data must be entered into GPMS within USDOL-required timeframes.</w:t>
            </w:r>
          </w:p>
        </w:tc>
      </w:tr>
      <w:tr w:rsidR="00006FE2" w14:paraId="23BF6698"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4204130" w14:textId="77777777" w:rsidR="00006FE2" w:rsidRDefault="00006FE2" w:rsidP="002C7643">
            <w:pPr>
              <w:spacing w:before="40" w:after="40"/>
            </w:pPr>
            <w:r>
              <w:rPr>
                <w:b/>
                <w:bCs/>
              </w:rPr>
              <w:t>Greatest Economic Need</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4719073" w14:textId="77777777" w:rsidR="00006FE2" w:rsidRDefault="00006FE2" w:rsidP="002C7643">
            <w:pPr>
              <w:spacing w:before="40" w:after="40"/>
            </w:pPr>
            <w:r>
              <w:t>The need resulting from an income level at or below the poverty guidelines established by the U.S. Department of Health and Human Services and approved by OMB. See 42 U.S.C. § 3002(29).</w:t>
            </w:r>
          </w:p>
        </w:tc>
      </w:tr>
      <w:tr w:rsidR="00006FE2" w14:paraId="6467BA52"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0CF8E65" w14:textId="77777777" w:rsidR="00006FE2" w:rsidRDefault="00006FE2" w:rsidP="002C7643">
            <w:pPr>
              <w:spacing w:before="40" w:after="40"/>
            </w:pPr>
            <w:r>
              <w:rPr>
                <w:b/>
                <w:bCs/>
              </w:rPr>
              <w:lastRenderedPageBreak/>
              <w:t>Greatest Social Need</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5965C82" w14:textId="77777777" w:rsidR="00006FE2" w:rsidRDefault="00006FE2" w:rsidP="002C7643">
            <w:pPr>
              <w:spacing w:before="40" w:after="40"/>
            </w:pPr>
            <w:r>
              <w:t>Need caused by non-economic factors, including physical and mental disabilities; language barriers; and cultural, social, or geographical isolation, including isolation caused by racial or ethnic status, that restricts the ability of an individual to perform normal daily tasks or threatens the capacity of the individual to live independently. See 42 U.S.C. § 3002(24) and 20 CFR Part 641.140.</w:t>
            </w:r>
          </w:p>
        </w:tc>
      </w:tr>
      <w:tr w:rsidR="00006FE2" w14:paraId="074D5FF5"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A63D1F3" w14:textId="77777777" w:rsidR="00006FE2" w:rsidRDefault="00006FE2" w:rsidP="002C7643">
            <w:pPr>
              <w:spacing w:before="40" w:after="40"/>
            </w:pPr>
            <w:r>
              <w:rPr>
                <w:b/>
                <w:bCs/>
              </w:rPr>
              <w:t>Host Agency</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27A4246" w14:textId="77777777" w:rsidR="00006FE2" w:rsidRDefault="00006FE2" w:rsidP="002C7643">
            <w:pPr>
              <w:spacing w:before="40" w:after="40"/>
            </w:pPr>
            <w:r>
              <w:t>A public agency or a private nonprofit organization exempt from taxation under § 501(c)(3) of the Internal Revenue Code of 1986 that provides a training worksite and supervision for one or more Participants. Political parties cannot be Host Agencies. A Host Agency may be a religious organization provided that assignments do not involve the construction, operation, or maintenance of any facility used or to be used as a place for sectarian religious instruction or worship. See OAA § 502(b)(1)(D).</w:t>
            </w:r>
          </w:p>
        </w:tc>
      </w:tr>
      <w:tr w:rsidR="00006FE2" w14:paraId="207A21B1"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E66FC64" w14:textId="77777777" w:rsidR="00006FE2" w:rsidRDefault="00006FE2" w:rsidP="002C7643">
            <w:pPr>
              <w:spacing w:before="40" w:after="40"/>
            </w:pPr>
            <w:r>
              <w:rPr>
                <w:b/>
                <w:bCs/>
              </w:rPr>
              <w:t>Idaho Commission on Aging (ICOA)</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FED5F9F" w14:textId="77777777" w:rsidR="00006FE2" w:rsidRDefault="00006FE2" w:rsidP="002C7643">
            <w:pPr>
              <w:spacing w:before="40" w:after="40"/>
            </w:pPr>
            <w:r>
              <w:t>The designated State SCSEP Grantee for Idaho and the sole state agency designated to administer OAA programs and services for Idahoans age 60 and older.</w:t>
            </w:r>
          </w:p>
        </w:tc>
      </w:tr>
      <w:tr w:rsidR="00006FE2" w14:paraId="25242642"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86B4F5B" w14:textId="77777777" w:rsidR="00006FE2" w:rsidRDefault="00006FE2" w:rsidP="002C7643">
            <w:pPr>
              <w:spacing w:before="40" w:after="40"/>
            </w:pPr>
            <w:r>
              <w:rPr>
                <w:b/>
                <w:bCs/>
              </w:rPr>
              <w:t>In-kind</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7D0178C" w14:textId="77777777" w:rsidR="00006FE2" w:rsidRDefault="00006FE2" w:rsidP="002C7643">
            <w:pPr>
              <w:spacing w:before="40" w:after="40"/>
            </w:pPr>
            <w:r>
              <w:t>Non-federal dollars used by a Host Agency to support supervising and training SCSEP Participants. The total expenses for supervising, equipment, and space usage may be reported as in-kind match.</w:t>
            </w:r>
          </w:p>
        </w:tc>
      </w:tr>
      <w:tr w:rsidR="00006FE2" w14:paraId="6A1F889F"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6DC87FE" w14:textId="77777777" w:rsidR="00006FE2" w:rsidRDefault="00006FE2" w:rsidP="002C7643">
            <w:pPr>
              <w:spacing w:before="40" w:after="40"/>
            </w:pPr>
            <w:r>
              <w:rPr>
                <w:b/>
                <w:bCs/>
              </w:rPr>
              <w:t>Income</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55A0932" w14:textId="77777777" w:rsidR="00006FE2" w:rsidRDefault="00006FE2" w:rsidP="002C7643">
            <w:pPr>
              <w:spacing w:before="40" w:after="40"/>
            </w:pPr>
            <w:r>
              <w:t>Income received during the 12-month period ending on the date of application, or the annualized income for the 6-month period ending on the date of application, whichever is more beneficial to the applicant.</w:t>
            </w:r>
          </w:p>
        </w:tc>
      </w:tr>
      <w:tr w:rsidR="00006FE2" w14:paraId="0E31DD78"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6C92436" w14:textId="77777777" w:rsidR="00006FE2" w:rsidRDefault="00006FE2" w:rsidP="002C7643">
            <w:pPr>
              <w:spacing w:before="40" w:after="40"/>
            </w:pPr>
            <w:r>
              <w:rPr>
                <w:b/>
                <w:bCs/>
              </w:rPr>
              <w:t>Individual Employment Plan (IEP)</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D7F0D65" w14:textId="77777777" w:rsidR="00006FE2" w:rsidRDefault="00006FE2" w:rsidP="002C7643">
            <w:pPr>
              <w:spacing w:before="40" w:after="40"/>
            </w:pPr>
            <w:r>
              <w:t>A plan for a Participant based on an assessment conducted by the Grantee or Contractor, or a recent assessment or plan developed by another employment and training program, together with a related service strategy. The IEP must include an appropriate employment goal (except that after the first IEP, subsequent IEPs need not contain an employment goal if such a goal is not feasible), objectives that lead to the goal, a timeline for achieving the objectives, and must be jointly agreed upon with the Participant. See OAA § 502(b)(1)(N). In Idaho, the WIOA Individual Service Strategy (ISS) may be used to satisfy the IEP requirement for SCSEP enrollees where applicable.</w:t>
            </w:r>
          </w:p>
        </w:tc>
      </w:tr>
      <w:tr w:rsidR="00006FE2" w14:paraId="4FF30355"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A0A0F26" w14:textId="77777777" w:rsidR="00006FE2" w:rsidRDefault="00006FE2" w:rsidP="002C7643">
            <w:pPr>
              <w:spacing w:before="40" w:after="40"/>
            </w:pPr>
            <w:r>
              <w:rPr>
                <w:b/>
                <w:bCs/>
              </w:rPr>
              <w:t>IPRO</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EF3F461" w14:textId="77777777" w:rsidR="00006FE2" w:rsidRDefault="00006FE2" w:rsidP="002C7643">
            <w:pPr>
              <w:spacing w:before="40" w:after="40"/>
            </w:pPr>
            <w:r>
              <w:t>The State of Idaho’s eProcurement system (IPRO POWERED BY LUMA), through which this Solicitation is issued and all Proposal submissions are received.</w:t>
            </w:r>
          </w:p>
        </w:tc>
      </w:tr>
      <w:tr w:rsidR="00006FE2" w14:paraId="640854DA"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8D3A268" w14:textId="77777777" w:rsidR="00006FE2" w:rsidRDefault="00006FE2" w:rsidP="002C7643">
            <w:pPr>
              <w:spacing w:before="40" w:after="40"/>
            </w:pPr>
            <w:r>
              <w:rPr>
                <w:b/>
                <w:bCs/>
              </w:rPr>
              <w:t>Job Ready</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A0A310C" w14:textId="77777777" w:rsidR="00006FE2" w:rsidRDefault="00006FE2" w:rsidP="002C7643">
            <w:pPr>
              <w:spacing w:before="40" w:after="40"/>
            </w:pPr>
            <w:r>
              <w:t>Describes individuals who do not require further education or training to perform work that is available in their labor market.</w:t>
            </w:r>
          </w:p>
        </w:tc>
      </w:tr>
      <w:tr w:rsidR="00006FE2" w14:paraId="03A5717B"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EAC1194" w14:textId="77777777" w:rsidR="00006FE2" w:rsidRDefault="00006FE2" w:rsidP="002C7643">
            <w:pPr>
              <w:spacing w:before="40" w:after="40"/>
              <w:rPr>
                <w:b/>
                <w:bCs/>
              </w:rPr>
            </w:pPr>
            <w:r>
              <w:rPr>
                <w:b/>
                <w:bCs/>
              </w:rPr>
              <w:t>Loaded Annual Cost</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A2B2133" w14:textId="34D58453" w:rsidR="00006FE2" w:rsidRDefault="00006FE2" w:rsidP="002C7643">
            <w:pPr>
              <w:spacing w:before="40" w:after="40"/>
            </w:pPr>
            <w:r>
              <w:t>The calculated cost for a position in Submittal Form C, Section 1 (Staffing), equal to Full-Time Annual Salary × FTE. Represents the maximum annual amount reimbursable for the named position in a single program year, subject to the actual time and effort recorded under Exhibit 4, Section 8.3. See Exhibit 4, Section 8 (Staffing Commitments).</w:t>
            </w:r>
          </w:p>
        </w:tc>
      </w:tr>
      <w:tr w:rsidR="00006FE2" w14:paraId="13EAB9C0"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CFF27E3" w14:textId="77777777" w:rsidR="00006FE2" w:rsidRDefault="00006FE2" w:rsidP="002C7643">
            <w:pPr>
              <w:spacing w:before="40" w:after="40"/>
            </w:pPr>
            <w:r>
              <w:rPr>
                <w:b/>
                <w:bCs/>
              </w:rPr>
              <w:t>Low Income</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3AA361C" w14:textId="77777777" w:rsidR="00006FE2" w:rsidRDefault="00006FE2" w:rsidP="002C7643">
            <w:pPr>
              <w:spacing w:before="40" w:after="40"/>
            </w:pPr>
            <w:r>
              <w:t xml:space="preserve">Family income that, during the preceding six months on an annualized basis or during the preceding 12 months (whichever is more beneficial to the applicant), does not exceed 125 percent of the federal poverty levels established and </w:t>
            </w:r>
            <w:r>
              <w:lastRenderedPageBreak/>
              <w:t>periodically updated by the U.S. Department of Health and Human Services. Individuals who receive (or are a member of a family that receives) regular cash welfare payments are deemed to have low income for purposes of SCSEP.</w:t>
            </w:r>
          </w:p>
        </w:tc>
      </w:tr>
      <w:tr w:rsidR="00006FE2" w14:paraId="07A7B03E"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EE4AB9B" w14:textId="77777777" w:rsidR="00006FE2" w:rsidRDefault="00006FE2" w:rsidP="002C7643">
            <w:pPr>
              <w:spacing w:before="40" w:after="40"/>
            </w:pPr>
            <w:r>
              <w:rPr>
                <w:b/>
                <w:bCs/>
              </w:rPr>
              <w:lastRenderedPageBreak/>
              <w:t>Maintenance of Effort (MoE)</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5981D45" w14:textId="77777777" w:rsidR="00006FE2" w:rsidRDefault="00006FE2" w:rsidP="002C7643">
            <w:pPr>
              <w:spacing w:before="40" w:after="40"/>
            </w:pPr>
            <w:r>
              <w:t>A Host Agency’s written commitment that it will not reduce its number of employees, displace its workers, impair existing contracts, or replace laid-off workers with a SCSEP Participant.</w:t>
            </w:r>
          </w:p>
        </w:tc>
      </w:tr>
      <w:tr w:rsidR="00006FE2" w14:paraId="7674B2F9"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720FBA3" w14:textId="77777777" w:rsidR="00006FE2" w:rsidRDefault="00006FE2" w:rsidP="002C7643">
            <w:pPr>
              <w:spacing w:before="40" w:after="40"/>
            </w:pPr>
            <w:r>
              <w:rPr>
                <w:b/>
                <w:bCs/>
              </w:rPr>
              <w:t>Most-in-Need</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7627022" w14:textId="77777777" w:rsidR="00006FE2" w:rsidRDefault="00006FE2" w:rsidP="002C7643">
            <w:pPr>
              <w:spacing w:before="40" w:after="40"/>
            </w:pPr>
            <w:r>
              <w:t>Participants meeting one or more USDOL-defined most-in-need characteristics (e.g., severe disability, frail, limited English proficiency, low literacy skills, residence in a rural area, veteran or eligible spouse status, low employment prospects, failed to find employment after using services through the American Job Center system, or homeless/at risk of homelessness). Service to Most-in-Need is a core USDOL performance measure.</w:t>
            </w:r>
          </w:p>
        </w:tc>
      </w:tr>
      <w:tr w:rsidR="00006FE2" w14:paraId="22599BCC"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602E680" w14:textId="77777777" w:rsidR="00006FE2" w:rsidRDefault="00006FE2" w:rsidP="002C7643">
            <w:pPr>
              <w:spacing w:before="40" w:after="40"/>
            </w:pPr>
            <w:r>
              <w:rPr>
                <w:b/>
                <w:bCs/>
              </w:rPr>
              <w:t>Non-Federal Cash</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851BA01" w14:textId="77777777" w:rsidR="00006FE2" w:rsidRDefault="00006FE2" w:rsidP="002C7643">
            <w:pPr>
              <w:spacing w:before="40" w:after="40"/>
            </w:pPr>
            <w:r>
              <w:t>Costs incurred by the Contractor and cash contributions of third parties involved in the project, including subgrantees, contractors, and consultants, that are considered eligible cash matching funds toward the 10 percent local match requirement.</w:t>
            </w:r>
          </w:p>
        </w:tc>
      </w:tr>
      <w:tr w:rsidR="00006FE2" w14:paraId="1329D093"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2BA9602" w14:textId="77777777" w:rsidR="00006FE2" w:rsidRDefault="00006FE2" w:rsidP="002C7643">
            <w:pPr>
              <w:spacing w:before="40" w:after="40"/>
            </w:pPr>
            <w:r>
              <w:rPr>
                <w:b/>
                <w:bCs/>
              </w:rPr>
              <w:t>Office of Management and Budget (OMB)</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B19ADB5" w14:textId="77777777" w:rsidR="00006FE2" w:rsidRDefault="00006FE2" w:rsidP="002C7643">
            <w:pPr>
              <w:spacing w:before="40" w:after="40"/>
            </w:pPr>
            <w:r>
              <w:t>The federal agency that issues circulars establishing standards for the administration of federal grants to state and local governments and institutions of higher education.</w:t>
            </w:r>
          </w:p>
        </w:tc>
      </w:tr>
      <w:tr w:rsidR="00006FE2" w14:paraId="3CC0A318"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6334662" w14:textId="77777777" w:rsidR="00006FE2" w:rsidRDefault="00006FE2" w:rsidP="002C7643">
            <w:pPr>
              <w:spacing w:before="40" w:after="40"/>
            </w:pPr>
            <w:r>
              <w:rPr>
                <w:b/>
                <w:bCs/>
              </w:rPr>
              <w:t>Older Americans Act (OAA)</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81FF32C" w14:textId="77777777" w:rsidR="00006FE2" w:rsidRDefault="00006FE2" w:rsidP="002C7643">
            <w:pPr>
              <w:spacing w:before="40" w:after="40"/>
            </w:pPr>
            <w:r>
              <w:t>The Older Americans Act of 1965 [42 U.S.C. §§ 3056–3056p et seq.], as amended by Public Law 116-131 on March 25, 2020, which authorizes SCSEP under Title V.</w:t>
            </w:r>
          </w:p>
        </w:tc>
      </w:tr>
      <w:tr w:rsidR="00006FE2" w14:paraId="13CBD4EC"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53DADD4" w14:textId="77777777" w:rsidR="00006FE2" w:rsidRDefault="00006FE2" w:rsidP="002C7643">
            <w:pPr>
              <w:spacing w:before="40" w:after="40"/>
              <w:rPr>
                <w:b/>
                <w:bCs/>
              </w:rPr>
            </w:pPr>
            <w:r>
              <w:rPr>
                <w:b/>
                <w:bCs/>
              </w:rPr>
              <w:t>Operational Scenario</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A427D3F" w14:textId="3AD36910" w:rsidR="00006FE2" w:rsidRDefault="00006FE2" w:rsidP="002C7643">
            <w:pPr>
              <w:spacing w:before="40" w:after="40"/>
            </w:pPr>
            <w:r>
              <w:t>The scenario described in Submittal Form B, Part 4, requiring the Offeror to demonstrate the application of its proposed methodology to the operational configuration priced in Submittal Form C through a narrative response addressing staffing model, allocation of staffing to operational functions, geographic coverage mechanics, direct cost basis, and Year 1 staffing adjustments. The Operational Scenario is distinct from, and complementary to, the Cost Proposal in Submittal Form C.</w:t>
            </w:r>
          </w:p>
        </w:tc>
      </w:tr>
      <w:tr w:rsidR="00006FE2" w14:paraId="6CEDD80E"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DB41EF4" w14:textId="77777777" w:rsidR="00006FE2" w:rsidRDefault="00006FE2" w:rsidP="002C7643">
            <w:pPr>
              <w:spacing w:before="40" w:after="40"/>
            </w:pPr>
            <w:r>
              <w:rPr>
                <w:b/>
                <w:bCs/>
              </w:rPr>
              <w:t>Other Enrollee Cost</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214397A" w14:textId="5B7251B1" w:rsidR="00006FE2" w:rsidRDefault="00006FE2" w:rsidP="002C7643">
            <w:pPr>
              <w:spacing w:before="40" w:after="40"/>
            </w:pPr>
            <w:r>
              <w:t>One of the three federal SCSEP cost categories. Covers costs such as case manager wages and benefits, training and education costs, and supportive services provided to Participants. Positions classified as Other Enrollee in Submittal Form C, Section 1 (Staffing) include case management, training, recruitment, and direct Participant service roles. Direct program costs in this category are itemized in Submittal Form C, Section 2B.</w:t>
            </w:r>
          </w:p>
        </w:tc>
      </w:tr>
      <w:tr w:rsidR="00006FE2" w14:paraId="314EF9A7"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B869003" w14:textId="77777777" w:rsidR="00006FE2" w:rsidRDefault="00006FE2" w:rsidP="002C7643">
            <w:pPr>
              <w:spacing w:before="40" w:after="40"/>
            </w:pPr>
            <w:r>
              <w:rPr>
                <w:b/>
                <w:bCs/>
              </w:rPr>
              <w:t>Participant</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44FB7E6" w14:textId="77777777" w:rsidR="00006FE2" w:rsidRDefault="00006FE2" w:rsidP="002C7643">
            <w:pPr>
              <w:spacing w:before="40" w:after="40"/>
            </w:pPr>
            <w:r>
              <w:t>An individual who is eligible for SCSEP, has been enrolled, and has been assigned a Community Service Assignment.</w:t>
            </w:r>
          </w:p>
        </w:tc>
      </w:tr>
      <w:tr w:rsidR="00006FE2" w14:paraId="45F8C5EF"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DCC4253" w14:textId="77777777" w:rsidR="00006FE2" w:rsidRDefault="00006FE2" w:rsidP="002C7643">
            <w:pPr>
              <w:spacing w:before="40" w:after="40"/>
            </w:pPr>
            <w:r>
              <w:rPr>
                <w:b/>
                <w:bCs/>
              </w:rPr>
              <w:t>Participant Slots</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0194F01" w14:textId="77777777" w:rsidR="00006FE2" w:rsidRDefault="00006FE2" w:rsidP="002C7643">
            <w:pPr>
              <w:spacing w:before="40" w:after="40"/>
            </w:pPr>
            <w:r>
              <w:t>The targeted number of Participant positions allocated to each county (or other geographic unit) by USDOL each program year, based on census data and available federal funding.</w:t>
            </w:r>
          </w:p>
        </w:tc>
      </w:tr>
      <w:tr w:rsidR="00006FE2" w14:paraId="47D3BFB3"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3CE433A" w14:textId="77777777" w:rsidR="00006FE2" w:rsidRDefault="00006FE2" w:rsidP="002C7643">
            <w:pPr>
              <w:spacing w:before="40" w:after="40"/>
            </w:pPr>
            <w:r>
              <w:rPr>
                <w:b/>
                <w:bCs/>
              </w:rPr>
              <w:lastRenderedPageBreak/>
              <w:t>Performance Measures [20 CFR § 641.710]</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AF60D5E" w14:textId="77777777" w:rsidR="00006FE2" w:rsidRDefault="00006FE2" w:rsidP="002C7643">
            <w:pPr>
              <w:spacing w:before="40" w:after="40"/>
            </w:pPr>
            <w:r>
              <w:t>Measures developed by USDOL as SCSEP program targets that must be met. Current measures include:</w:t>
            </w:r>
          </w:p>
          <w:p w14:paraId="5C6BAE62" w14:textId="77777777" w:rsidR="00006FE2" w:rsidRDefault="00006FE2" w:rsidP="002C7643">
            <w:pPr>
              <w:spacing w:before="80" w:after="40"/>
            </w:pPr>
            <w:r>
              <w:t>Core 1: Hours of Community Service Employment;</w:t>
            </w:r>
          </w:p>
          <w:p w14:paraId="2A0DBA46" w14:textId="77777777" w:rsidR="00006FE2" w:rsidRDefault="00006FE2" w:rsidP="002C7643">
            <w:pPr>
              <w:spacing w:before="80" w:after="40"/>
            </w:pPr>
            <w:r>
              <w:t>Core 2: Employment Rate, 2nd Quarter After Exit;</w:t>
            </w:r>
          </w:p>
          <w:p w14:paraId="6BAFCCA5" w14:textId="77777777" w:rsidR="00006FE2" w:rsidRDefault="00006FE2" w:rsidP="002C7643">
            <w:pPr>
              <w:spacing w:before="80" w:after="40"/>
            </w:pPr>
            <w:r>
              <w:t>Core 3: Employment Rate, 4th Quarter After Exit;</w:t>
            </w:r>
          </w:p>
          <w:p w14:paraId="524ABF24" w14:textId="77777777" w:rsidR="00006FE2" w:rsidRDefault="00006FE2" w:rsidP="002C7643">
            <w:pPr>
              <w:spacing w:before="80" w:after="40"/>
            </w:pPr>
            <w:r>
              <w:t>Core 4: Median Earnings, 2nd Quarter After Exit;</w:t>
            </w:r>
          </w:p>
          <w:p w14:paraId="1893A2D2" w14:textId="77777777" w:rsidR="00006FE2" w:rsidRDefault="00006FE2" w:rsidP="002C7643">
            <w:pPr>
              <w:spacing w:before="80" w:after="40"/>
            </w:pPr>
            <w:r>
              <w:t>Core 5: Indicators of Effectiveness in Serving Employers, Participants, and Host Agencies;</w:t>
            </w:r>
          </w:p>
          <w:p w14:paraId="72DA047D" w14:textId="77777777" w:rsidR="00006FE2" w:rsidRDefault="00006FE2" w:rsidP="002C7643">
            <w:pPr>
              <w:spacing w:before="80" w:after="40"/>
            </w:pPr>
            <w:r>
              <w:t>Core 6: Number of Eligible Individuals Served; and</w:t>
            </w:r>
          </w:p>
          <w:p w14:paraId="30EB2413" w14:textId="77777777" w:rsidR="00006FE2" w:rsidRDefault="00006FE2" w:rsidP="002C7643">
            <w:pPr>
              <w:spacing w:before="80" w:after="40"/>
            </w:pPr>
            <w:r>
              <w:t>Core 7: Service to Most-in-Need.</w:t>
            </w:r>
          </w:p>
        </w:tc>
      </w:tr>
      <w:tr w:rsidR="00006FE2" w14:paraId="31291A41"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16E04DB" w14:textId="77777777" w:rsidR="00006FE2" w:rsidRDefault="00006FE2" w:rsidP="002C7643">
            <w:pPr>
              <w:spacing w:before="40" w:after="40"/>
            </w:pPr>
            <w:r>
              <w:rPr>
                <w:b/>
                <w:bCs/>
              </w:rPr>
              <w:t>Planning Service Area (PSA)</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4BCFC56" w14:textId="77777777" w:rsidR="00006FE2" w:rsidRDefault="00006FE2" w:rsidP="002C7643">
            <w:pPr>
              <w:spacing w:before="40" w:after="40"/>
            </w:pPr>
            <w:r>
              <w:t>A defined geographic area used for planning and delivering SCSEP services in Idaho. Idaho currently comprises six PSAs; SCSEP slots for the Contract period are allocated to PSA 3 (Southwest Idaho). See Exhibit 2, Section 5.1.</w:t>
            </w:r>
          </w:p>
        </w:tc>
      </w:tr>
      <w:tr w:rsidR="00006FE2" w14:paraId="38134248"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0E0ED22" w14:textId="77777777" w:rsidR="00006FE2" w:rsidRDefault="00006FE2" w:rsidP="002C7643">
            <w:pPr>
              <w:spacing w:before="40" w:after="40"/>
            </w:pPr>
            <w:r>
              <w:rPr>
                <w:b/>
                <w:bCs/>
              </w:rPr>
              <w:t>Poor Employment Prospects</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FF5E9B3" w14:textId="77777777" w:rsidR="00006FE2" w:rsidRDefault="00006FE2" w:rsidP="002C7643">
            <w:pPr>
              <w:spacing w:before="40" w:after="40"/>
            </w:pPr>
            <w:r>
              <w:t>The unlikelihood of an otherwise eligible individual obtaining employment without the assistance of this or other employment and training programs. Persons with poor employment prospects include, but are not limited to, those without a substantial employment history, basic skills, or English-language proficiency; displaced homemakers; school dropouts; disabled veterans; and individuals who are homeless or reside in socially and economically isolated rural or urban areas where employment opportunities are limited.</w:t>
            </w:r>
          </w:p>
        </w:tc>
      </w:tr>
      <w:tr w:rsidR="00006FE2" w14:paraId="3A7C1AC3"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5E29E38" w14:textId="77777777" w:rsidR="00006FE2" w:rsidRDefault="00006FE2" w:rsidP="002C7643">
            <w:pPr>
              <w:spacing w:before="40" w:after="40"/>
            </w:pPr>
            <w:r>
              <w:rPr>
                <w:b/>
                <w:bCs/>
              </w:rPr>
              <w:t>Program Year</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1DCB0EB" w14:textId="77777777" w:rsidR="00006FE2" w:rsidRDefault="00006FE2" w:rsidP="002C7643">
            <w:pPr>
              <w:spacing w:before="40" w:after="40"/>
            </w:pPr>
            <w:r>
              <w:t>The one-year period covered by a grant agreement, beginning July 1 and ending June 30.</w:t>
            </w:r>
          </w:p>
        </w:tc>
      </w:tr>
      <w:tr w:rsidR="00006FE2" w14:paraId="47B446CC"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61B7A30" w14:textId="77777777" w:rsidR="00006FE2" w:rsidRDefault="00006FE2" w:rsidP="002C7643">
            <w:pPr>
              <w:spacing w:before="40" w:after="40"/>
            </w:pPr>
            <w:r>
              <w:rPr>
                <w:b/>
                <w:bCs/>
              </w:rPr>
              <w:t>Proposal</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72B6AFE" w14:textId="77777777" w:rsidR="00006FE2" w:rsidRDefault="00006FE2" w:rsidP="002C7643">
            <w:pPr>
              <w:spacing w:before="40" w:after="40"/>
            </w:pPr>
            <w:r>
              <w:t>An Offeror’s complete response to this RFP, consisting of Submittal Form A, Submittal Form B, Submittal Form C, and any other required documents as described in Section 2.</w:t>
            </w:r>
          </w:p>
        </w:tc>
      </w:tr>
      <w:tr w:rsidR="00006FE2" w14:paraId="3E9CFB30"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A0CE69C" w14:textId="77777777" w:rsidR="00006FE2" w:rsidRDefault="00006FE2" w:rsidP="002C7643">
            <w:pPr>
              <w:spacing w:before="40" w:after="40"/>
            </w:pPr>
            <w:r>
              <w:rPr>
                <w:b/>
                <w:bCs/>
              </w:rPr>
              <w:t>Quarterly Progress Reports (QPR)</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BF7DB19" w14:textId="77777777" w:rsidR="00006FE2" w:rsidRDefault="00006FE2" w:rsidP="002C7643">
            <w:pPr>
              <w:spacing w:before="40" w:after="40"/>
            </w:pPr>
            <w:r>
              <w:t>Federal reports accessed through GPMS that summarize quarterly performance measures.</w:t>
            </w:r>
          </w:p>
        </w:tc>
      </w:tr>
      <w:tr w:rsidR="00006FE2" w14:paraId="3FD39215"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81B9B15" w14:textId="77777777" w:rsidR="00006FE2" w:rsidRDefault="00006FE2" w:rsidP="002C7643">
            <w:pPr>
              <w:spacing w:before="40" w:after="40"/>
            </w:pPr>
            <w:r>
              <w:rPr>
                <w:b/>
                <w:bCs/>
              </w:rPr>
              <w:t>Recertification</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6193357" w14:textId="77777777" w:rsidR="00006FE2" w:rsidRDefault="00006FE2" w:rsidP="002C7643">
            <w:pPr>
              <w:spacing w:before="40" w:after="40"/>
            </w:pPr>
            <w:r>
              <w:t>The annual (or more frequent) determination of a Participant’s continued eligibility for SCSEP, based on current age, unemployment status, and income.</w:t>
            </w:r>
          </w:p>
        </w:tc>
      </w:tr>
      <w:tr w:rsidR="00006FE2" w14:paraId="251F1B18"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29804AC" w14:textId="77777777" w:rsidR="00006FE2" w:rsidRDefault="00006FE2" w:rsidP="002C7643">
            <w:pPr>
              <w:spacing w:before="40" w:after="40"/>
            </w:pPr>
            <w:r>
              <w:rPr>
                <w:b/>
                <w:bCs/>
              </w:rPr>
              <w:t>Rejections</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CF81A8C" w14:textId="77777777" w:rsidR="00006FE2" w:rsidRDefault="00006FE2" w:rsidP="002C7643">
            <w:pPr>
              <w:spacing w:before="40" w:after="40"/>
            </w:pPr>
            <w:r>
              <w:t>Errors listed in GPMS that must be cleared by quarter-end to ensure correct data.</w:t>
            </w:r>
          </w:p>
        </w:tc>
      </w:tr>
      <w:tr w:rsidR="00006FE2" w14:paraId="29101F17"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55F1DF8" w14:textId="77777777" w:rsidR="00006FE2" w:rsidRDefault="00006FE2" w:rsidP="002C7643">
            <w:pPr>
              <w:spacing w:before="40" w:after="40"/>
            </w:pPr>
            <w:r>
              <w:rPr>
                <w:b/>
                <w:bCs/>
              </w:rPr>
              <w:t>Residence</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D0D7A0E" w14:textId="77777777" w:rsidR="00006FE2" w:rsidRDefault="00006FE2" w:rsidP="002C7643">
            <w:pPr>
              <w:spacing w:before="40" w:after="40"/>
            </w:pPr>
            <w:r>
              <w:t>An individual’s declared dwelling place or address. No requirement pertaining to length of residency prior to enrollment may be imposed.</w:t>
            </w:r>
          </w:p>
        </w:tc>
      </w:tr>
      <w:tr w:rsidR="00006FE2" w14:paraId="432485D5"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A856B14" w14:textId="77777777" w:rsidR="00006FE2" w:rsidRDefault="00006FE2" w:rsidP="002C7643">
            <w:pPr>
              <w:spacing w:before="40" w:after="40"/>
            </w:pPr>
            <w:r>
              <w:rPr>
                <w:b/>
                <w:bCs/>
              </w:rPr>
              <w:t>Section 508</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B69C12C" w14:textId="77777777" w:rsidR="00006FE2" w:rsidRDefault="00006FE2" w:rsidP="002C7643">
            <w:pPr>
              <w:spacing w:before="40" w:after="40"/>
            </w:pPr>
            <w:r>
              <w:t>Section 508 of the Rehabilitation Act of 1973 (29 U.S.C. § 794d), which requires federal agencies and those receiving federal funds to make electronic and information technology accessible to people with disabilities. See Exhibit 3, Section 9 for accessibility obligations under this Contract.</w:t>
            </w:r>
          </w:p>
        </w:tc>
      </w:tr>
      <w:tr w:rsidR="00006FE2" w14:paraId="459C4577"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B2F15D7" w14:textId="77777777" w:rsidR="00006FE2" w:rsidRDefault="00006FE2" w:rsidP="002C7643">
            <w:pPr>
              <w:spacing w:before="40" w:after="40"/>
            </w:pPr>
            <w:r>
              <w:rPr>
                <w:b/>
                <w:bCs/>
              </w:rPr>
              <w:lastRenderedPageBreak/>
              <w:t>Senior Community Service Employment Program (SCSEP)</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865D4AA" w14:textId="77777777" w:rsidR="00006FE2" w:rsidRDefault="00006FE2" w:rsidP="002C7643">
            <w:pPr>
              <w:spacing w:before="40" w:after="40"/>
            </w:pPr>
            <w:r>
              <w:t>A work-based training program for low-income persons age 55 and over, designed to place Participants at public agencies and non-profit organizations to gain the skills needed to move into unsubsidized employment, as authorized under Title V of the Older Americans Act.</w:t>
            </w:r>
          </w:p>
        </w:tc>
      </w:tr>
      <w:tr w:rsidR="00751E5F" w14:paraId="47BC7206"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4EECE8B" w14:textId="5F632C1C" w:rsidR="00751E5F" w:rsidRDefault="00751E5F" w:rsidP="002C7643">
            <w:pPr>
              <w:spacing w:before="40" w:after="40"/>
              <w:rPr>
                <w:b/>
                <w:bCs/>
              </w:rPr>
            </w:pPr>
            <w:r>
              <w:rPr>
                <w:b/>
                <w:bCs/>
              </w:rPr>
              <w:t>Staffing Rates</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876919A" w14:textId="5885D77F" w:rsidR="00751E5F" w:rsidRDefault="00751E5F" w:rsidP="002C7643">
            <w:pPr>
              <w:spacing w:before="40" w:after="40"/>
            </w:pPr>
            <w:r>
              <w:t>The schedule of staff positions, federal cost categorization, Full-Time Annual Salaries, FTE allocations, and calculated Loaded Annual Costs submitted by the Offeror in Submittal Form C, Section 1 (Staffing). The rates entered in Section 1 (Staffing) become binding contract rates upon contract execution. See Exhibit 4, Section 8 (Staffing Commitments).</w:t>
            </w:r>
          </w:p>
        </w:tc>
      </w:tr>
      <w:tr w:rsidR="00006FE2" w14:paraId="17A1A886"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721B98E" w14:textId="77777777" w:rsidR="00006FE2" w:rsidRDefault="00006FE2" w:rsidP="002C7643">
            <w:pPr>
              <w:spacing w:before="40" w:after="40"/>
            </w:pPr>
            <w:r>
              <w:rPr>
                <w:b/>
                <w:bCs/>
              </w:rPr>
              <w:t>Subgrantee</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3D82F77" w14:textId="77777777" w:rsidR="00006FE2" w:rsidRDefault="00006FE2" w:rsidP="002C7643">
            <w:pPr>
              <w:spacing w:before="40" w:after="40"/>
            </w:pPr>
            <w:r>
              <w:t>The legal entity to which a subgrant is awarded by a Grantee and which is accountable to the Grantee for the use of the funds provided. In this Contract, the successful Offeror serves as the Subgrantee to ICOA.</w:t>
            </w:r>
          </w:p>
        </w:tc>
      </w:tr>
      <w:tr w:rsidR="00006FE2" w14:paraId="142340D0"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FCACA50" w14:textId="77777777" w:rsidR="00006FE2" w:rsidRDefault="00006FE2" w:rsidP="002C7643">
            <w:pPr>
              <w:spacing w:before="40" w:after="40"/>
            </w:pPr>
            <w:r>
              <w:rPr>
                <w:b/>
                <w:bCs/>
              </w:rPr>
              <w:t>Supportive Services</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1C02A4B" w14:textId="77777777" w:rsidR="00006FE2" w:rsidRDefault="00006FE2" w:rsidP="002C7643">
            <w:pPr>
              <w:spacing w:before="40" w:after="40"/>
            </w:pPr>
            <w:r>
              <w:t>Allowable services provided to address Participant barriers to program participation and employment, including (but not limited to) transportation assistance, work-related clothing, and tools. Supportive services are paid from the Other Enrollee cost category.</w:t>
            </w:r>
          </w:p>
        </w:tc>
      </w:tr>
      <w:tr w:rsidR="00006FE2" w14:paraId="2103A756"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77A1C91" w14:textId="77777777" w:rsidR="00006FE2" w:rsidRDefault="00006FE2" w:rsidP="002C7643">
            <w:pPr>
              <w:spacing w:before="40" w:after="40"/>
              <w:rPr>
                <w:b/>
                <w:bCs/>
              </w:rPr>
            </w:pPr>
            <w:r>
              <w:rPr>
                <w:b/>
                <w:bCs/>
              </w:rPr>
              <w:t>Total Annual Operating Cost</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2A6B893" w14:textId="0EB062C4" w:rsidR="00006FE2" w:rsidRDefault="00006FE2" w:rsidP="002C7643">
            <w:pPr>
              <w:spacing w:before="40" w:after="40"/>
            </w:pPr>
            <w:r>
              <w:t>The value calculated in Submittal Form C, Section 5, representing the sum of (a) Total Annual Staff Labor (linked from Section 1, Staffing) and (b) Direct Program Costs for one program year at the operational configuration priced in Submittal Form C. The Total Annual Operating Cost is the value used for cost evaluation under the State's lowest-cost normalization formula. Participant wages, fringe benefits, and workers' compensation are excluded from this calculation, as those costs are formula-driven from the federal allocation and identical across all proposals.</w:t>
            </w:r>
          </w:p>
        </w:tc>
      </w:tr>
      <w:tr w:rsidR="00006FE2" w14:paraId="65D36959"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437501B" w14:textId="77777777" w:rsidR="00006FE2" w:rsidRDefault="00006FE2" w:rsidP="002C7643">
            <w:pPr>
              <w:spacing w:before="40" w:after="40"/>
            </w:pPr>
            <w:r>
              <w:rPr>
                <w:b/>
                <w:bCs/>
              </w:rPr>
              <w:t>Training and Employment Guidance Letter (TEGL)</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908E8AF" w14:textId="77777777" w:rsidR="00006FE2" w:rsidRDefault="00006FE2" w:rsidP="002C7643">
            <w:pPr>
              <w:spacing w:before="40" w:after="40"/>
            </w:pPr>
            <w:r>
              <w:t>Guidance letters issued by USDOL that must be implemented in the administration of SCSEP. Key current examples include TEGL 10-09 (Veterans’ Priority of Service) and TEGL 12-06 (Income Inclusions/Exclusions).</w:t>
            </w:r>
          </w:p>
        </w:tc>
      </w:tr>
      <w:tr w:rsidR="00006FE2" w14:paraId="16CF8447"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A7D6B32" w14:textId="77777777" w:rsidR="00006FE2" w:rsidRDefault="00006FE2" w:rsidP="002C7643">
            <w:pPr>
              <w:spacing w:before="40" w:after="40"/>
            </w:pPr>
            <w:r>
              <w:rPr>
                <w:b/>
                <w:bCs/>
              </w:rPr>
              <w:t>Unique Entity Identifier (UEI)</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88664A3" w14:textId="77777777" w:rsidR="00006FE2" w:rsidRDefault="00006FE2" w:rsidP="002C7643">
            <w:pPr>
              <w:spacing w:before="40" w:after="40"/>
            </w:pPr>
            <w:r>
              <w:t>The 12-character alphanumeric identifier assigned by SAM.gov to uniquely identify entities receiving federal funds. As of April 2022, UEI replaced the DUNS number for federal award reporting. Offerors must provide their UEI in Submittal Form A.</w:t>
            </w:r>
          </w:p>
        </w:tc>
      </w:tr>
      <w:tr w:rsidR="00006FE2" w14:paraId="0348F53D"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2126113" w14:textId="77777777" w:rsidR="00006FE2" w:rsidRDefault="00006FE2" w:rsidP="002C7643">
            <w:pPr>
              <w:spacing w:before="40" w:after="40"/>
            </w:pPr>
            <w:r>
              <w:rPr>
                <w:b/>
                <w:bCs/>
              </w:rPr>
              <w:t>Unsubsidized Employment</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622E21C" w14:textId="77777777" w:rsidR="00006FE2" w:rsidRDefault="00006FE2" w:rsidP="002C7643">
            <w:pPr>
              <w:spacing w:before="40" w:after="40"/>
            </w:pPr>
            <w:r>
              <w:t>Employment for which wages are not subsidized by SCSEP or another publicly funded training program. Placement into unsubsidized employment is the primary exit goal for SCSEP Participants.</w:t>
            </w:r>
          </w:p>
        </w:tc>
      </w:tr>
      <w:tr w:rsidR="00006FE2" w14:paraId="21B674AA"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0F4C6F4" w14:textId="77777777" w:rsidR="00006FE2" w:rsidRDefault="00006FE2" w:rsidP="002C7643">
            <w:pPr>
              <w:spacing w:before="40" w:after="40"/>
            </w:pPr>
            <w:r>
              <w:rPr>
                <w:b/>
                <w:bCs/>
              </w:rPr>
              <w:t>U.S. Department of Labor (USDOL)</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9815568" w14:textId="77777777" w:rsidR="00006FE2" w:rsidRDefault="00006FE2" w:rsidP="002C7643">
            <w:pPr>
              <w:spacing w:before="40" w:after="40"/>
            </w:pPr>
            <w:r>
              <w:t>The United States Department of Labor, including its agencies and organizational units that administer SCSEP.</w:t>
            </w:r>
          </w:p>
        </w:tc>
      </w:tr>
      <w:tr w:rsidR="00006FE2" w14:paraId="0728B864"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FA6573A" w14:textId="77777777" w:rsidR="00006FE2" w:rsidRDefault="00006FE2" w:rsidP="002C7643">
            <w:pPr>
              <w:spacing w:before="40" w:after="40"/>
            </w:pPr>
            <w:r>
              <w:rPr>
                <w:b/>
                <w:bCs/>
              </w:rPr>
              <w:t>Validation (Data Validation)</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B6D321F" w14:textId="77777777" w:rsidR="00006FE2" w:rsidRDefault="00006FE2" w:rsidP="002C7643">
            <w:pPr>
              <w:spacing w:before="40" w:after="40"/>
            </w:pPr>
            <w:r>
              <w:t>The annual review that ICOA, as Grantee, must conduct to validate information provided by the Contractor and Host Agencies. The review focuses on a system-generated sample of Participants and Host Agencies.</w:t>
            </w:r>
          </w:p>
        </w:tc>
      </w:tr>
      <w:tr w:rsidR="00006FE2" w14:paraId="7752C278"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03681BC" w14:textId="77777777" w:rsidR="00006FE2" w:rsidRDefault="00006FE2" w:rsidP="002C7643">
            <w:pPr>
              <w:spacing w:before="40" w:after="40"/>
            </w:pPr>
            <w:r>
              <w:rPr>
                <w:b/>
                <w:bCs/>
              </w:rPr>
              <w:lastRenderedPageBreak/>
              <w:t>Veteran / Qualified Spouse</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61BE5FD" w14:textId="77777777" w:rsidR="00006FE2" w:rsidRDefault="00006FE2" w:rsidP="002C7643">
            <w:pPr>
              <w:spacing w:before="40" w:after="40"/>
            </w:pPr>
            <w:r>
              <w:t>As defined in the Jobs for Veterans Act (38 U.S.C. § 4215(a)) and TEGL 10-09, an individual entitled to priority of service under federally funded workforce programs. See ICOA’s Veterans’ Priority of Service Policy (SCSEP-2010-06).</w:t>
            </w:r>
          </w:p>
        </w:tc>
      </w:tr>
      <w:tr w:rsidR="00006FE2" w14:paraId="0F3EAB2B"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CFB7233" w14:textId="77777777" w:rsidR="00006FE2" w:rsidRDefault="00006FE2" w:rsidP="002C7643">
            <w:pPr>
              <w:spacing w:before="40" w:after="40"/>
            </w:pPr>
            <w:r>
              <w:rPr>
                <w:b/>
                <w:bCs/>
              </w:rPr>
              <w:t>Web Content Accessibility Guidelines (WCAG)</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558EB11" w14:textId="77777777" w:rsidR="00006FE2" w:rsidRDefault="00006FE2" w:rsidP="002C7643">
            <w:pPr>
              <w:spacing w:before="40" w:after="40"/>
            </w:pPr>
            <w:r>
              <w:t>International guidelines for making web content accessible to people with disabilities. This Contract requires WCAG 2.1 Level AA compliance for all digital products, services, and content. See Exhibit 3, Section 9.</w:t>
            </w:r>
          </w:p>
        </w:tc>
      </w:tr>
      <w:tr w:rsidR="00006FE2" w14:paraId="4CC61EB9" w14:textId="77777777" w:rsidTr="002C7643">
        <w:tc>
          <w:tcPr>
            <w:tcW w:w="2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23948BD" w14:textId="77777777" w:rsidR="00006FE2" w:rsidRDefault="00006FE2" w:rsidP="002C7643">
            <w:pPr>
              <w:spacing w:before="40" w:after="40"/>
            </w:pPr>
            <w:r>
              <w:rPr>
                <w:b/>
                <w:bCs/>
              </w:rPr>
              <w:t>Workforce Innovation and Opportunity Act (WIOA)</w:t>
            </w:r>
          </w:p>
        </w:tc>
        <w:tc>
          <w:tcPr>
            <w:tcW w:w="7745"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AA87CBD" w14:textId="77777777" w:rsidR="00006FE2" w:rsidRDefault="00006FE2" w:rsidP="002C7643">
            <w:pPr>
              <w:spacing w:before="40" w:after="40"/>
            </w:pPr>
            <w:r>
              <w:t>The federal law designed to help job seekers access employment, education, training, and support services to succeed in the labor market, and to match employers with qualified workers. SCSEP activities must be coordinated with WIOA Title I services and American Job Centers.</w:t>
            </w:r>
          </w:p>
        </w:tc>
      </w:tr>
    </w:tbl>
    <w:p w14:paraId="4862BECA" w14:textId="679584A8" w:rsidR="00006FE2" w:rsidRDefault="00006FE2">
      <w:pPr>
        <w:rPr>
          <w:spacing w:val="20"/>
          <w:sz w:val="48"/>
          <w:szCs w:val="48"/>
        </w:rPr>
      </w:pPr>
    </w:p>
    <w:p w14:paraId="55249059" w14:textId="77777777" w:rsidR="00006FE2" w:rsidRDefault="00006FE2">
      <w:pPr>
        <w:rPr>
          <w:spacing w:val="20"/>
          <w:sz w:val="48"/>
          <w:szCs w:val="48"/>
        </w:rPr>
      </w:pPr>
      <w:r>
        <w:rPr>
          <w:spacing w:val="20"/>
          <w:sz w:val="48"/>
          <w:szCs w:val="48"/>
        </w:rPr>
        <w:br w:type="page"/>
      </w:r>
    </w:p>
    <w:p w14:paraId="2BB03798" w14:textId="6E0F1EFC" w:rsidR="00A632C8" w:rsidRPr="00B84CEF" w:rsidRDefault="00A632C8" w:rsidP="00A632C8">
      <w:pPr>
        <w:jc w:val="center"/>
        <w:rPr>
          <w:spacing w:val="20"/>
          <w:sz w:val="48"/>
          <w:szCs w:val="48"/>
        </w:rPr>
      </w:pPr>
      <w:r>
        <w:rPr>
          <w:spacing w:val="20"/>
          <w:sz w:val="48"/>
          <w:szCs w:val="48"/>
        </w:rPr>
        <w:lastRenderedPageBreak/>
        <w:t>EXHIBIT 2</w:t>
      </w:r>
    </w:p>
    <w:p w14:paraId="22519A1D" w14:textId="77777777" w:rsidR="00A632C8" w:rsidRPr="00B84CEF" w:rsidRDefault="00A632C8" w:rsidP="00A632C8">
      <w:pPr>
        <w:shd w:val="clear" w:color="auto" w:fill="F2F2F2" w:themeFill="background1" w:themeFillShade="F2"/>
        <w:jc w:val="center"/>
        <w:rPr>
          <w:b/>
          <w:bCs/>
          <w:spacing w:val="20"/>
          <w:sz w:val="36"/>
          <w:szCs w:val="36"/>
        </w:rPr>
      </w:pPr>
      <w:r>
        <w:rPr>
          <w:b/>
          <w:bCs/>
          <w:spacing w:val="20"/>
          <w:sz w:val="36"/>
          <w:szCs w:val="36"/>
        </w:rPr>
        <w:t>Background Information</w:t>
      </w:r>
    </w:p>
    <w:p w14:paraId="2F92007C" w14:textId="77777777" w:rsidR="00A632C8" w:rsidRDefault="00A632C8" w:rsidP="00A632C8">
      <w:pPr>
        <w:jc w:val="both"/>
      </w:pPr>
    </w:p>
    <w:p w14:paraId="0F29667F" w14:textId="77777777" w:rsidR="00A632C8" w:rsidRPr="00510011" w:rsidRDefault="00A632C8" w:rsidP="00007DE4">
      <w:pPr>
        <w:pStyle w:val="ListParagraph"/>
        <w:numPr>
          <w:ilvl w:val="0"/>
          <w:numId w:val="12"/>
        </w:numPr>
        <w:jc w:val="both"/>
        <w:rPr>
          <w:b/>
          <w:bCs/>
        </w:rPr>
      </w:pPr>
      <w:r>
        <w:rPr>
          <w:b/>
          <w:bCs/>
        </w:rPr>
        <w:t xml:space="preserve">About The Department / Agency </w:t>
      </w:r>
    </w:p>
    <w:p w14:paraId="424DDA9F" w14:textId="77777777" w:rsidR="00A632C8" w:rsidRDefault="00A632C8" w:rsidP="00A632C8">
      <w:pPr>
        <w:ind w:left="360"/>
        <w:jc w:val="both"/>
      </w:pPr>
      <w:r>
        <w:t xml:space="preserve">The Idaho Commission on Aging (ICOA) is the designated State SCSEP Grantee for Idaho and the sole agency designated to administer Older Americans Act (OAA) programs for Idahoans age 60 and older. Additional information is available at </w:t>
      </w:r>
      <w:hyperlink r:id="rId14" w:history="1">
        <w:r>
          <w:rPr>
            <w:rStyle w:val="Hyperlink"/>
          </w:rPr>
          <w:t>www.aging.idaho.gov</w:t>
        </w:r>
      </w:hyperlink>
      <w:r>
        <w:t xml:space="preserve">. </w:t>
      </w:r>
    </w:p>
    <w:p w14:paraId="3FC8E05A" w14:textId="77777777" w:rsidR="00A632C8" w:rsidRPr="009A717B" w:rsidRDefault="00A632C8" w:rsidP="00A632C8">
      <w:pPr>
        <w:ind w:left="360"/>
        <w:jc w:val="both"/>
      </w:pPr>
    </w:p>
    <w:p w14:paraId="1853A754" w14:textId="77777777" w:rsidR="00A632C8" w:rsidRPr="009A717B" w:rsidRDefault="00A632C8" w:rsidP="00007DE4">
      <w:pPr>
        <w:pStyle w:val="ListParagraph"/>
        <w:numPr>
          <w:ilvl w:val="0"/>
          <w:numId w:val="12"/>
        </w:numPr>
        <w:jc w:val="both"/>
        <w:rPr>
          <w:b/>
          <w:bCs/>
        </w:rPr>
      </w:pPr>
      <w:r>
        <w:rPr>
          <w:b/>
          <w:bCs/>
        </w:rPr>
        <w:t>Background Information</w:t>
      </w:r>
    </w:p>
    <w:p w14:paraId="5C46F1B1" w14:textId="10256CDB" w:rsidR="00A632C8" w:rsidRDefault="00A632C8" w:rsidP="00A632C8">
      <w:pPr>
        <w:ind w:left="360"/>
        <w:jc w:val="both"/>
      </w:pPr>
      <w:r>
        <w:t>The Senior Community Service Employment Program (SCSEP) is a federally funded, work-based job training program authorized under Title V of the Older Americans Act. SCSEP provides part-time, subsidized training for low-income, unemployed individuals age 55 and older, with the dual goals of delivering community services and supporting Participants in transitioning to unsubsidized employment. The program is overseen and funded by the U.S. Department of Labor (USDOL) and governed by 20 CFR Part 641. Full eligibility criteria and program definitions are provided in Exhibit 1.</w:t>
      </w:r>
    </w:p>
    <w:p w14:paraId="28B30BA3" w14:textId="77777777" w:rsidR="00A632C8" w:rsidRPr="009A717B" w:rsidRDefault="00A632C8" w:rsidP="00A632C8">
      <w:pPr>
        <w:ind w:left="360"/>
        <w:jc w:val="both"/>
      </w:pPr>
    </w:p>
    <w:p w14:paraId="77D23B1C" w14:textId="77777777" w:rsidR="00A632C8" w:rsidRDefault="00A632C8" w:rsidP="00007DE4">
      <w:pPr>
        <w:pStyle w:val="ListParagraph"/>
        <w:numPr>
          <w:ilvl w:val="0"/>
          <w:numId w:val="12"/>
        </w:numPr>
        <w:jc w:val="both"/>
        <w:rPr>
          <w:b/>
          <w:bCs/>
        </w:rPr>
      </w:pPr>
      <w:r>
        <w:rPr>
          <w:b/>
          <w:bCs/>
        </w:rPr>
        <w:t>Summary of Scope</w:t>
      </w:r>
    </w:p>
    <w:p w14:paraId="5732ABA3" w14:textId="15F65792" w:rsidR="00A632C8" w:rsidRDefault="00A632C8" w:rsidP="00A632C8">
      <w:pPr>
        <w:pStyle w:val="ListParagraph"/>
        <w:ind w:left="360"/>
        <w:jc w:val="both"/>
      </w:pPr>
      <w:r>
        <w:t>ICOA seeks a single qualified Contractor to operate SCSEP in Idaho, including the full range of Participant services, Host Agency management, GPMS data management, reporting, and compliance activities. The complete scope of work is provided in Exhibit 4.</w:t>
      </w:r>
    </w:p>
    <w:p w14:paraId="4DEF7FD4" w14:textId="77777777" w:rsidR="00A632C8" w:rsidRPr="00B87DEC" w:rsidRDefault="00A632C8" w:rsidP="00A632C8">
      <w:pPr>
        <w:pStyle w:val="ListParagraph"/>
        <w:ind w:left="360"/>
        <w:jc w:val="both"/>
      </w:pPr>
    </w:p>
    <w:p w14:paraId="7807CC44" w14:textId="77777777" w:rsidR="00A632C8" w:rsidRDefault="00A632C8" w:rsidP="00007DE4">
      <w:pPr>
        <w:pStyle w:val="ListParagraph"/>
        <w:numPr>
          <w:ilvl w:val="0"/>
          <w:numId w:val="12"/>
        </w:numPr>
        <w:jc w:val="both"/>
        <w:rPr>
          <w:b/>
          <w:bCs/>
        </w:rPr>
      </w:pPr>
      <w:r>
        <w:rPr>
          <w:b/>
          <w:bCs/>
        </w:rPr>
        <w:t>Objectives and Expectations</w:t>
      </w:r>
    </w:p>
    <w:p w14:paraId="5E344E41" w14:textId="77777777" w:rsidR="00A632C8" w:rsidRDefault="00A632C8" w:rsidP="00A632C8">
      <w:pPr>
        <w:pStyle w:val="ListParagraph"/>
        <w:ind w:left="360"/>
        <w:jc w:val="both"/>
      </w:pPr>
      <w:r>
        <w:t>The program’s goals are to:</w:t>
      </w:r>
    </w:p>
    <w:p w14:paraId="17AAEFB4" w14:textId="77777777" w:rsidR="00A632C8" w:rsidRPr="00B87DEC" w:rsidRDefault="00A632C8" w:rsidP="00A632C8">
      <w:pPr>
        <w:pStyle w:val="ListParagraph"/>
        <w:ind w:left="360"/>
        <w:jc w:val="both"/>
      </w:pPr>
    </w:p>
    <w:p w14:paraId="13BA88F0" w14:textId="77777777" w:rsidR="00A632C8" w:rsidRDefault="00A632C8" w:rsidP="00007DE4">
      <w:pPr>
        <w:pStyle w:val="ListParagraph"/>
        <w:numPr>
          <w:ilvl w:val="1"/>
          <w:numId w:val="12"/>
        </w:numPr>
        <w:jc w:val="both"/>
      </w:pPr>
      <w:r>
        <w:t>Provide useful community service through part-time, work-based training assignments at public and non-profit host agencies; and</w:t>
      </w:r>
    </w:p>
    <w:p w14:paraId="0B58AC6E" w14:textId="77777777" w:rsidR="00895AFE" w:rsidRPr="00B87DEC" w:rsidRDefault="00895AFE" w:rsidP="00895AFE">
      <w:pPr>
        <w:pStyle w:val="ListParagraph"/>
        <w:ind w:left="792"/>
        <w:jc w:val="both"/>
      </w:pPr>
    </w:p>
    <w:p w14:paraId="762409AB" w14:textId="10F51500" w:rsidR="00A632C8" w:rsidRPr="00151BA9" w:rsidRDefault="00A632C8" w:rsidP="00007DE4">
      <w:pPr>
        <w:pStyle w:val="ListParagraph"/>
        <w:numPr>
          <w:ilvl w:val="1"/>
          <w:numId w:val="12"/>
        </w:numPr>
        <w:jc w:val="both"/>
      </w:pPr>
      <w:r>
        <w:t>Equip Participants with the skills and support needed to transition to unsubsidized employment and achieve economic self-sufficiency.</w:t>
      </w:r>
    </w:p>
    <w:p w14:paraId="5F93E4F2" w14:textId="77777777" w:rsidR="00A632C8" w:rsidRDefault="00A632C8" w:rsidP="00A632C8">
      <w:pPr>
        <w:pStyle w:val="ListParagraph"/>
        <w:ind w:left="792"/>
        <w:jc w:val="both"/>
        <w:rPr>
          <w:b/>
          <w:bCs/>
        </w:rPr>
      </w:pPr>
    </w:p>
    <w:p w14:paraId="47C3139F" w14:textId="77777777" w:rsidR="00A632C8" w:rsidRDefault="00A632C8" w:rsidP="00007DE4">
      <w:pPr>
        <w:pStyle w:val="ListParagraph"/>
        <w:numPr>
          <w:ilvl w:val="0"/>
          <w:numId w:val="12"/>
        </w:numPr>
        <w:jc w:val="both"/>
        <w:rPr>
          <w:b/>
          <w:bCs/>
        </w:rPr>
      </w:pPr>
      <w:r>
        <w:rPr>
          <w:b/>
          <w:bCs/>
        </w:rPr>
        <w:t>Existing Data</w:t>
      </w:r>
    </w:p>
    <w:p w14:paraId="21D49055" w14:textId="77777777" w:rsidR="00A632C8" w:rsidRDefault="00A632C8" w:rsidP="00A632C8">
      <w:pPr>
        <w:pStyle w:val="ListParagraph"/>
        <w:ind w:left="360"/>
        <w:jc w:val="both"/>
        <w:rPr>
          <w:b/>
          <w:bCs/>
        </w:rPr>
      </w:pPr>
    </w:p>
    <w:p w14:paraId="72B1D0FC" w14:textId="3F5BE58D" w:rsidR="00A632C8" w:rsidRDefault="00A632C8" w:rsidP="00007DE4">
      <w:pPr>
        <w:pStyle w:val="ListParagraph"/>
        <w:numPr>
          <w:ilvl w:val="1"/>
          <w:numId w:val="12"/>
        </w:numPr>
        <w:jc w:val="both"/>
        <w:rPr>
          <w:b/>
          <w:bCs/>
        </w:rPr>
      </w:pPr>
      <w:r>
        <w:rPr>
          <w:b/>
          <w:bCs/>
        </w:rPr>
        <w:t>Current Participant Slots and Geographic Coverage</w:t>
      </w:r>
    </w:p>
    <w:p w14:paraId="2AAB5806" w14:textId="7212684E" w:rsidR="00A632C8" w:rsidRDefault="00A632C8" w:rsidP="00A632C8">
      <w:pPr>
        <w:pStyle w:val="ListParagraph"/>
        <w:ind w:left="792"/>
        <w:jc w:val="both"/>
      </w:pPr>
      <w:r>
        <w:t>Idaho’s current SCSEP allocation consists of 41 authorized Participant slots in Southwest Idaho (Planning Service Area 3):</w:t>
      </w:r>
    </w:p>
    <w:p w14:paraId="0A5C970E" w14:textId="77777777" w:rsidR="00A632C8" w:rsidRDefault="00A632C8" w:rsidP="00A632C8">
      <w:pPr>
        <w:pStyle w:val="ListParagraph"/>
        <w:ind w:left="792"/>
        <w:jc w:val="both"/>
      </w:pPr>
    </w:p>
    <w:tbl>
      <w:tblPr>
        <w:tblStyle w:val="TableGrid"/>
        <w:tblpPr w:leftFromText="180" w:rightFromText="180" w:vertAnchor="text" w:tblpXSpec="center" w:tblpY="1"/>
        <w:tblOverlap w:val="never"/>
        <w:tblW w:w="10210" w:type="dxa"/>
        <w:jc w:val="center"/>
        <w:tblLook w:val="04A0" w:firstRow="1" w:lastRow="0" w:firstColumn="1" w:lastColumn="0" w:noHBand="0" w:noVBand="1"/>
      </w:tblPr>
      <w:tblGrid>
        <w:gridCol w:w="3424"/>
        <w:gridCol w:w="3393"/>
        <w:gridCol w:w="3393"/>
      </w:tblGrid>
      <w:tr w:rsidR="00A632C8" w14:paraId="7ABE636B" w14:textId="77777777" w:rsidTr="004963FC">
        <w:trPr>
          <w:trHeight w:val="251"/>
          <w:jc w:val="center"/>
        </w:trPr>
        <w:tc>
          <w:tcPr>
            <w:tcW w:w="3424" w:type="dxa"/>
            <w:shd w:val="clear" w:color="auto" w:fill="404040" w:themeFill="text1" w:themeFillTint="BF"/>
            <w:vAlign w:val="center"/>
          </w:tcPr>
          <w:p w14:paraId="1D1BA265" w14:textId="77777777" w:rsidR="00A632C8" w:rsidRPr="0045728B" w:rsidRDefault="00A632C8" w:rsidP="004963FC">
            <w:pPr>
              <w:jc w:val="center"/>
              <w:rPr>
                <w:b/>
                <w:bCs/>
                <w:color w:val="FFFFFF" w:themeColor="background1"/>
              </w:rPr>
            </w:pPr>
            <w:r>
              <w:rPr>
                <w:b/>
                <w:bCs/>
                <w:color w:val="FFFFFF" w:themeColor="background1"/>
              </w:rPr>
              <w:t>Planning Service Area</w:t>
            </w:r>
          </w:p>
        </w:tc>
        <w:tc>
          <w:tcPr>
            <w:tcW w:w="3393" w:type="dxa"/>
            <w:shd w:val="clear" w:color="auto" w:fill="404040" w:themeFill="text1" w:themeFillTint="BF"/>
            <w:vAlign w:val="center"/>
          </w:tcPr>
          <w:p w14:paraId="4831B9E8" w14:textId="77777777" w:rsidR="00A632C8" w:rsidRPr="0045728B" w:rsidRDefault="00A632C8" w:rsidP="004963FC">
            <w:pPr>
              <w:jc w:val="center"/>
              <w:rPr>
                <w:b/>
                <w:bCs/>
                <w:color w:val="FFFFFF" w:themeColor="background1"/>
              </w:rPr>
            </w:pPr>
            <w:r>
              <w:rPr>
                <w:b/>
                <w:bCs/>
                <w:color w:val="FFFFFF" w:themeColor="background1"/>
              </w:rPr>
              <w:t>Counties</w:t>
            </w:r>
          </w:p>
        </w:tc>
        <w:tc>
          <w:tcPr>
            <w:tcW w:w="3393" w:type="dxa"/>
            <w:shd w:val="clear" w:color="auto" w:fill="404040" w:themeFill="text1" w:themeFillTint="BF"/>
          </w:tcPr>
          <w:p w14:paraId="36B5E27B" w14:textId="77777777" w:rsidR="00A632C8" w:rsidRDefault="00A632C8" w:rsidP="004963FC">
            <w:pPr>
              <w:jc w:val="center"/>
              <w:rPr>
                <w:b/>
                <w:bCs/>
                <w:color w:val="FFFFFF" w:themeColor="background1"/>
              </w:rPr>
            </w:pPr>
            <w:r>
              <w:rPr>
                <w:b/>
                <w:bCs/>
                <w:color w:val="FFFFFF" w:themeColor="background1"/>
              </w:rPr>
              <w:t>Slots</w:t>
            </w:r>
          </w:p>
        </w:tc>
      </w:tr>
      <w:tr w:rsidR="007C41FC" w14:paraId="3F40742D" w14:textId="77777777" w:rsidTr="007C41FC">
        <w:trPr>
          <w:trHeight w:val="411"/>
          <w:jc w:val="center"/>
        </w:trPr>
        <w:tc>
          <w:tcPr>
            <w:tcW w:w="3424" w:type="dxa"/>
            <w:vMerge w:val="restart"/>
            <w:vAlign w:val="center"/>
          </w:tcPr>
          <w:p w14:paraId="74F8FECC" w14:textId="7B3C9254" w:rsidR="007C41FC" w:rsidRDefault="007C41FC" w:rsidP="007C41FC">
            <w:pPr>
              <w:jc w:val="center"/>
            </w:pPr>
            <w:r>
              <w:t>PSA 3 – Southwest Idaho</w:t>
            </w:r>
          </w:p>
        </w:tc>
        <w:tc>
          <w:tcPr>
            <w:tcW w:w="3393" w:type="dxa"/>
            <w:vAlign w:val="center"/>
          </w:tcPr>
          <w:p w14:paraId="0F53CCED" w14:textId="0DFCCDB5" w:rsidR="007C41FC" w:rsidRDefault="007C41FC" w:rsidP="004963FC">
            <w:pPr>
              <w:jc w:val="center"/>
            </w:pPr>
            <w:r>
              <w:t>Ada County</w:t>
            </w:r>
          </w:p>
        </w:tc>
        <w:tc>
          <w:tcPr>
            <w:tcW w:w="3393" w:type="dxa"/>
            <w:vAlign w:val="center"/>
          </w:tcPr>
          <w:p w14:paraId="1CE95A78" w14:textId="77777777" w:rsidR="007C41FC" w:rsidRDefault="007C41FC" w:rsidP="004963FC">
            <w:pPr>
              <w:jc w:val="center"/>
            </w:pPr>
            <w:r>
              <w:t>39</w:t>
            </w:r>
          </w:p>
        </w:tc>
      </w:tr>
      <w:tr w:rsidR="007C41FC" w14:paraId="2068537D" w14:textId="77777777" w:rsidTr="007C41FC">
        <w:trPr>
          <w:trHeight w:val="381"/>
          <w:jc w:val="center"/>
        </w:trPr>
        <w:tc>
          <w:tcPr>
            <w:tcW w:w="3424" w:type="dxa"/>
            <w:vMerge/>
          </w:tcPr>
          <w:p w14:paraId="26B5C03C" w14:textId="61D1B190" w:rsidR="007C41FC" w:rsidRDefault="007C41FC" w:rsidP="004963FC">
            <w:pPr>
              <w:jc w:val="center"/>
            </w:pPr>
          </w:p>
        </w:tc>
        <w:tc>
          <w:tcPr>
            <w:tcW w:w="3393" w:type="dxa"/>
            <w:vAlign w:val="center"/>
          </w:tcPr>
          <w:p w14:paraId="259C8821" w14:textId="77777777" w:rsidR="007C41FC" w:rsidRDefault="007C41FC" w:rsidP="004963FC">
            <w:pPr>
              <w:jc w:val="center"/>
            </w:pPr>
            <w:r>
              <w:t>Gem County</w:t>
            </w:r>
          </w:p>
        </w:tc>
        <w:tc>
          <w:tcPr>
            <w:tcW w:w="3393" w:type="dxa"/>
            <w:vAlign w:val="center"/>
          </w:tcPr>
          <w:p w14:paraId="011F14A9" w14:textId="77777777" w:rsidR="007C41FC" w:rsidRDefault="007C41FC" w:rsidP="004963FC">
            <w:pPr>
              <w:jc w:val="center"/>
            </w:pPr>
            <w:r>
              <w:t>2</w:t>
            </w:r>
          </w:p>
        </w:tc>
      </w:tr>
      <w:tr w:rsidR="007C41FC" w14:paraId="5870F579" w14:textId="77777777" w:rsidTr="007C41FC">
        <w:trPr>
          <w:trHeight w:val="381"/>
          <w:jc w:val="center"/>
        </w:trPr>
        <w:tc>
          <w:tcPr>
            <w:tcW w:w="3424" w:type="dxa"/>
            <w:vMerge/>
          </w:tcPr>
          <w:p w14:paraId="5D57AFD0" w14:textId="4B8A2050" w:rsidR="007C41FC" w:rsidRPr="00BC6D81" w:rsidRDefault="007C41FC" w:rsidP="004963FC">
            <w:pPr>
              <w:jc w:val="center"/>
              <w:rPr>
                <w:b/>
                <w:bCs/>
              </w:rPr>
            </w:pPr>
          </w:p>
        </w:tc>
        <w:tc>
          <w:tcPr>
            <w:tcW w:w="3393" w:type="dxa"/>
            <w:vAlign w:val="center"/>
          </w:tcPr>
          <w:p w14:paraId="080095E5" w14:textId="7D63ED01" w:rsidR="007C41FC" w:rsidRPr="00BC6D81" w:rsidRDefault="007C41FC" w:rsidP="004963FC">
            <w:pPr>
              <w:jc w:val="center"/>
              <w:rPr>
                <w:rFonts w:ascii="Calibri" w:eastAsia="Calibri" w:hAnsi="Calibri" w:cs="Calibri"/>
                <w:b/>
                <w:bCs/>
              </w:rPr>
            </w:pPr>
            <w:r>
              <w:rPr>
                <w:rFonts w:ascii="Calibri" w:eastAsia="Calibri" w:hAnsi="Calibri" w:cs="Calibri"/>
                <w:b/>
                <w:bCs/>
              </w:rPr>
              <w:t>Total</w:t>
            </w:r>
          </w:p>
        </w:tc>
        <w:tc>
          <w:tcPr>
            <w:tcW w:w="3393" w:type="dxa"/>
            <w:vAlign w:val="center"/>
          </w:tcPr>
          <w:p w14:paraId="19832D63" w14:textId="77777777" w:rsidR="007C41FC" w:rsidRPr="00BC6D81" w:rsidRDefault="007C41FC" w:rsidP="004963FC">
            <w:pPr>
              <w:jc w:val="center"/>
              <w:rPr>
                <w:rFonts w:ascii="Calibri" w:eastAsia="Calibri" w:hAnsi="Calibri" w:cs="Calibri"/>
                <w:b/>
                <w:bCs/>
              </w:rPr>
            </w:pPr>
            <w:r>
              <w:rPr>
                <w:rFonts w:ascii="Arial" w:eastAsia="Arial" w:hAnsi="Arial" w:cs="Arial"/>
                <w:b/>
                <w:bCs/>
                <w:sz w:val="20"/>
                <w:szCs w:val="20"/>
              </w:rPr>
              <w:t>41</w:t>
            </w:r>
          </w:p>
        </w:tc>
      </w:tr>
    </w:tbl>
    <w:p w14:paraId="0085F9E1" w14:textId="77777777" w:rsidR="00A632C8" w:rsidRDefault="00A632C8" w:rsidP="00A632C8">
      <w:pPr>
        <w:jc w:val="both"/>
      </w:pPr>
    </w:p>
    <w:p w14:paraId="2ECFD4D4" w14:textId="77777777" w:rsidR="00A632C8" w:rsidRPr="00EF7990" w:rsidRDefault="00A632C8" w:rsidP="00007DE4">
      <w:pPr>
        <w:pStyle w:val="ListParagraph"/>
        <w:numPr>
          <w:ilvl w:val="1"/>
          <w:numId w:val="12"/>
        </w:numPr>
        <w:jc w:val="both"/>
        <w:rPr>
          <w:b/>
          <w:bCs/>
        </w:rPr>
      </w:pPr>
      <w:r>
        <w:rPr>
          <w:b/>
          <w:bCs/>
        </w:rPr>
        <w:t>Current USDOL Performance Targets</w:t>
      </w:r>
    </w:p>
    <w:p w14:paraId="7624834F" w14:textId="77777777" w:rsidR="00A632C8" w:rsidRDefault="00A632C8" w:rsidP="00A632C8">
      <w:pPr>
        <w:pStyle w:val="ListParagraph"/>
        <w:ind w:left="792"/>
        <w:jc w:val="both"/>
      </w:pPr>
    </w:p>
    <w:tbl>
      <w:tblPr>
        <w:tblStyle w:val="TableGrid"/>
        <w:tblW w:w="9127" w:type="dxa"/>
        <w:tblInd w:w="835" w:type="dxa"/>
        <w:tblLook w:val="04A0" w:firstRow="1" w:lastRow="0" w:firstColumn="1" w:lastColumn="0" w:noHBand="0" w:noVBand="1"/>
      </w:tblPr>
      <w:tblGrid>
        <w:gridCol w:w="4584"/>
        <w:gridCol w:w="4543"/>
      </w:tblGrid>
      <w:tr w:rsidR="00A632C8" w14:paraId="755D6A9C" w14:textId="77777777" w:rsidTr="002C7643">
        <w:trPr>
          <w:trHeight w:val="223"/>
        </w:trPr>
        <w:tc>
          <w:tcPr>
            <w:tcW w:w="4584" w:type="dxa"/>
            <w:shd w:val="clear" w:color="auto" w:fill="404040" w:themeFill="text1" w:themeFillTint="BF"/>
          </w:tcPr>
          <w:p w14:paraId="71CE5F2D" w14:textId="77777777" w:rsidR="00A632C8" w:rsidRPr="001F00DF" w:rsidRDefault="00A632C8" w:rsidP="002C7643">
            <w:pPr>
              <w:jc w:val="center"/>
              <w:rPr>
                <w:b/>
                <w:bCs/>
                <w:color w:val="FFFFFF" w:themeColor="background1"/>
              </w:rPr>
            </w:pPr>
            <w:r>
              <w:rPr>
                <w:b/>
                <w:bCs/>
                <w:color w:val="FFFFFF" w:themeColor="background1"/>
              </w:rPr>
              <w:t>Performance Measure</w:t>
            </w:r>
          </w:p>
        </w:tc>
        <w:tc>
          <w:tcPr>
            <w:tcW w:w="4543" w:type="dxa"/>
            <w:shd w:val="clear" w:color="auto" w:fill="404040" w:themeFill="text1" w:themeFillTint="BF"/>
          </w:tcPr>
          <w:p w14:paraId="1526321E" w14:textId="77777777" w:rsidR="00A632C8" w:rsidRPr="001F00DF" w:rsidRDefault="00A632C8" w:rsidP="002C7643">
            <w:pPr>
              <w:jc w:val="center"/>
              <w:rPr>
                <w:b/>
                <w:bCs/>
                <w:color w:val="FFFFFF" w:themeColor="background1"/>
              </w:rPr>
            </w:pPr>
            <w:r>
              <w:rPr>
                <w:b/>
                <w:bCs/>
                <w:color w:val="FFFFFF" w:themeColor="background1"/>
              </w:rPr>
              <w:t>USDOL Target</w:t>
            </w:r>
          </w:p>
        </w:tc>
      </w:tr>
      <w:tr w:rsidR="00A632C8" w14:paraId="26EE9001" w14:textId="77777777" w:rsidTr="007C41FC">
        <w:trPr>
          <w:trHeight w:val="365"/>
        </w:trPr>
        <w:tc>
          <w:tcPr>
            <w:tcW w:w="4584" w:type="dxa"/>
            <w:vAlign w:val="center"/>
          </w:tcPr>
          <w:p w14:paraId="1BCFC7FA" w14:textId="77777777" w:rsidR="00A632C8" w:rsidRDefault="00A632C8" w:rsidP="002C7643">
            <w:pPr>
              <w:jc w:val="center"/>
            </w:pPr>
            <w:r>
              <w:t>Community Service Hours</w:t>
            </w:r>
          </w:p>
        </w:tc>
        <w:tc>
          <w:tcPr>
            <w:tcW w:w="4543" w:type="dxa"/>
            <w:vAlign w:val="center"/>
          </w:tcPr>
          <w:p w14:paraId="0D378B7A" w14:textId="77777777" w:rsidR="00A632C8" w:rsidRDefault="00A632C8" w:rsidP="002C7643">
            <w:pPr>
              <w:jc w:val="center"/>
            </w:pPr>
            <w:r>
              <w:t>65.4%</w:t>
            </w:r>
          </w:p>
        </w:tc>
      </w:tr>
      <w:tr w:rsidR="00A632C8" w14:paraId="5445AAF7" w14:textId="77777777" w:rsidTr="007C41FC">
        <w:trPr>
          <w:trHeight w:val="338"/>
        </w:trPr>
        <w:tc>
          <w:tcPr>
            <w:tcW w:w="4584" w:type="dxa"/>
            <w:vAlign w:val="center"/>
          </w:tcPr>
          <w:p w14:paraId="2917312F" w14:textId="77777777" w:rsidR="00A632C8" w:rsidRDefault="00A632C8" w:rsidP="002C7643">
            <w:pPr>
              <w:jc w:val="center"/>
            </w:pPr>
            <w:r>
              <w:t>Service to Most in Need</w:t>
            </w:r>
          </w:p>
        </w:tc>
        <w:tc>
          <w:tcPr>
            <w:tcW w:w="4543" w:type="dxa"/>
            <w:vAlign w:val="center"/>
          </w:tcPr>
          <w:p w14:paraId="79C6A21A" w14:textId="77777777" w:rsidR="00A632C8" w:rsidRDefault="00A632C8" w:rsidP="002C7643">
            <w:pPr>
              <w:jc w:val="center"/>
            </w:pPr>
            <w:r>
              <w:t>3.1</w:t>
            </w:r>
          </w:p>
        </w:tc>
      </w:tr>
      <w:tr w:rsidR="00A632C8" w14:paraId="17159BC6" w14:textId="77777777" w:rsidTr="007C41FC">
        <w:trPr>
          <w:trHeight w:val="338"/>
        </w:trPr>
        <w:tc>
          <w:tcPr>
            <w:tcW w:w="4584" w:type="dxa"/>
            <w:vAlign w:val="center"/>
          </w:tcPr>
          <w:p w14:paraId="0FBCB8C0" w14:textId="77777777" w:rsidR="00A632C8" w:rsidRDefault="00A632C8" w:rsidP="002C7643">
            <w:pPr>
              <w:jc w:val="center"/>
            </w:pPr>
            <w:r>
              <w:t>Employment Rate – 2nd Quarter Post-Exit</w:t>
            </w:r>
          </w:p>
        </w:tc>
        <w:tc>
          <w:tcPr>
            <w:tcW w:w="4543" w:type="dxa"/>
            <w:vAlign w:val="center"/>
          </w:tcPr>
          <w:p w14:paraId="56084A42" w14:textId="77777777" w:rsidR="00A632C8" w:rsidRDefault="00A632C8" w:rsidP="002C7643">
            <w:pPr>
              <w:jc w:val="center"/>
              <w:rPr>
                <w:rFonts w:ascii="Calibri" w:eastAsia="Calibri" w:hAnsi="Calibri" w:cs="Calibri"/>
              </w:rPr>
            </w:pPr>
            <w:r>
              <w:t>23.9%</w:t>
            </w:r>
          </w:p>
        </w:tc>
      </w:tr>
      <w:tr w:rsidR="00A632C8" w14:paraId="019EB7BD" w14:textId="77777777" w:rsidTr="007C41FC">
        <w:trPr>
          <w:trHeight w:val="338"/>
        </w:trPr>
        <w:tc>
          <w:tcPr>
            <w:tcW w:w="4584" w:type="dxa"/>
            <w:vAlign w:val="center"/>
          </w:tcPr>
          <w:p w14:paraId="3305AD95" w14:textId="77777777" w:rsidR="00A632C8" w:rsidRDefault="00A632C8" w:rsidP="002C7643">
            <w:pPr>
              <w:jc w:val="center"/>
            </w:pPr>
            <w:r>
              <w:t>Employment Rate – 4th Quarter Post-Exit</w:t>
            </w:r>
          </w:p>
        </w:tc>
        <w:tc>
          <w:tcPr>
            <w:tcW w:w="4543" w:type="dxa"/>
            <w:vAlign w:val="center"/>
          </w:tcPr>
          <w:p w14:paraId="7BE0FEDF" w14:textId="77777777" w:rsidR="00A632C8" w:rsidRDefault="00A632C8" w:rsidP="002C7643">
            <w:pPr>
              <w:jc w:val="center"/>
              <w:rPr>
                <w:rFonts w:ascii="Calibri" w:eastAsia="Calibri" w:hAnsi="Calibri" w:cs="Calibri"/>
              </w:rPr>
            </w:pPr>
            <w:r>
              <w:t>21%</w:t>
            </w:r>
          </w:p>
        </w:tc>
      </w:tr>
      <w:tr w:rsidR="00A632C8" w14:paraId="788ACA8F" w14:textId="77777777" w:rsidTr="007C41FC">
        <w:trPr>
          <w:trHeight w:val="338"/>
        </w:trPr>
        <w:tc>
          <w:tcPr>
            <w:tcW w:w="4584" w:type="dxa"/>
            <w:vAlign w:val="center"/>
          </w:tcPr>
          <w:p w14:paraId="40FB718D" w14:textId="77777777" w:rsidR="00A632C8" w:rsidRDefault="00A632C8" w:rsidP="002C7643">
            <w:pPr>
              <w:jc w:val="center"/>
            </w:pPr>
            <w:r>
              <w:lastRenderedPageBreak/>
              <w:t>Median Earnings – 2nd Quarter Post-Exit</w:t>
            </w:r>
          </w:p>
        </w:tc>
        <w:tc>
          <w:tcPr>
            <w:tcW w:w="4543" w:type="dxa"/>
            <w:vAlign w:val="center"/>
          </w:tcPr>
          <w:p w14:paraId="0940084B" w14:textId="77777777" w:rsidR="00A632C8" w:rsidRDefault="00A632C8" w:rsidP="002C7643">
            <w:pPr>
              <w:jc w:val="center"/>
              <w:rPr>
                <w:rFonts w:ascii="Calibri" w:eastAsia="Calibri" w:hAnsi="Calibri" w:cs="Calibri"/>
              </w:rPr>
            </w:pPr>
            <w:r>
              <w:t>$3,236</w:t>
            </w:r>
          </w:p>
        </w:tc>
      </w:tr>
      <w:tr w:rsidR="00A632C8" w14:paraId="075AA8D7" w14:textId="77777777" w:rsidTr="007C41FC">
        <w:trPr>
          <w:trHeight w:val="338"/>
        </w:trPr>
        <w:tc>
          <w:tcPr>
            <w:tcW w:w="4584" w:type="dxa"/>
            <w:vAlign w:val="center"/>
          </w:tcPr>
          <w:p w14:paraId="7F89BB51" w14:textId="58562744" w:rsidR="00A632C8" w:rsidRPr="00BC6D81" w:rsidRDefault="00A632C8" w:rsidP="002C7643">
            <w:pPr>
              <w:jc w:val="center"/>
              <w:rPr>
                <w:b/>
                <w:bCs/>
              </w:rPr>
            </w:pPr>
            <w:r>
              <w:t>Effectiveness in Serving Participants</w:t>
            </w:r>
          </w:p>
        </w:tc>
        <w:tc>
          <w:tcPr>
            <w:tcW w:w="4543" w:type="dxa"/>
            <w:vAlign w:val="center"/>
          </w:tcPr>
          <w:p w14:paraId="61E41DDE" w14:textId="77777777" w:rsidR="00A632C8" w:rsidRPr="00BC6D81" w:rsidRDefault="00A632C8" w:rsidP="002C7643">
            <w:pPr>
              <w:jc w:val="center"/>
              <w:rPr>
                <w:rFonts w:ascii="Calibri" w:eastAsia="Calibri" w:hAnsi="Calibri" w:cs="Calibri"/>
                <w:b/>
                <w:bCs/>
              </w:rPr>
            </w:pPr>
            <w:r>
              <w:t>81.9%</w:t>
            </w:r>
          </w:p>
        </w:tc>
      </w:tr>
      <w:tr w:rsidR="00A632C8" w14:paraId="7130CCB0" w14:textId="77777777" w:rsidTr="007C41FC">
        <w:trPr>
          <w:trHeight w:val="338"/>
        </w:trPr>
        <w:tc>
          <w:tcPr>
            <w:tcW w:w="4584" w:type="dxa"/>
            <w:vAlign w:val="center"/>
          </w:tcPr>
          <w:p w14:paraId="3C0BF5C1" w14:textId="77777777" w:rsidR="00A632C8" w:rsidRPr="00BC6D81" w:rsidRDefault="00A632C8" w:rsidP="002C7643">
            <w:pPr>
              <w:jc w:val="center"/>
              <w:rPr>
                <w:b/>
                <w:bCs/>
              </w:rPr>
            </w:pPr>
            <w:r>
              <w:t>Effectiveness in Serving Host Agencies</w:t>
            </w:r>
          </w:p>
        </w:tc>
        <w:tc>
          <w:tcPr>
            <w:tcW w:w="4543" w:type="dxa"/>
            <w:vAlign w:val="center"/>
          </w:tcPr>
          <w:p w14:paraId="31DFC90D" w14:textId="77777777" w:rsidR="00A632C8" w:rsidRPr="00BC6D81" w:rsidRDefault="00A632C8" w:rsidP="002C7643">
            <w:pPr>
              <w:jc w:val="center"/>
              <w:rPr>
                <w:rFonts w:ascii="Calibri" w:eastAsia="Calibri" w:hAnsi="Calibri" w:cs="Calibri"/>
                <w:b/>
                <w:bCs/>
              </w:rPr>
            </w:pPr>
            <w:r>
              <w:t>85.4%</w:t>
            </w:r>
          </w:p>
        </w:tc>
      </w:tr>
    </w:tbl>
    <w:p w14:paraId="78297B63" w14:textId="77777777" w:rsidR="00A632C8" w:rsidRDefault="00A632C8" w:rsidP="00A632C8">
      <w:pPr>
        <w:pStyle w:val="ListParagraph"/>
        <w:ind w:left="792"/>
        <w:jc w:val="both"/>
      </w:pPr>
    </w:p>
    <w:p w14:paraId="6A6F841E" w14:textId="6FCA6BE1" w:rsidR="00A632C8" w:rsidRDefault="00A632C8" w:rsidP="00A632C8">
      <w:pPr>
        <w:pStyle w:val="ListParagraph"/>
        <w:ind w:left="792"/>
        <w:jc w:val="both"/>
      </w:pPr>
      <w:r>
        <w:rPr>
          <w:b/>
          <w:bCs/>
        </w:rPr>
        <w:t>Note on Effectiveness in Serving Employers</w:t>
      </w:r>
      <w:r>
        <w:t>: Under 20 CFR 641.710(e), the Effectiveness in Serving Employers measure is defined as the combined results of customer assessments of services received by employers, host agencies, and project Participants. This measure is currently "N/A" under the active USDOL demonstration and has been removed from the performance targets table above. This measure is subject to reinstatement by USDOL. If reinstated during the contract period, ICOA will notify the Contractor in writing within ten (10) business days and the applicable target will be incorporated into the performance framework.</w:t>
      </w:r>
    </w:p>
    <w:p w14:paraId="532C562D" w14:textId="77777777" w:rsidR="00A632C8" w:rsidRPr="00B87DEC" w:rsidRDefault="00A632C8" w:rsidP="00A632C8">
      <w:pPr>
        <w:pStyle w:val="ListParagraph"/>
        <w:ind w:left="792"/>
        <w:jc w:val="both"/>
      </w:pPr>
    </w:p>
    <w:p w14:paraId="66F2F009" w14:textId="77777777" w:rsidR="00A632C8" w:rsidRDefault="00A632C8" w:rsidP="00007DE4">
      <w:pPr>
        <w:pStyle w:val="ListParagraph"/>
        <w:numPr>
          <w:ilvl w:val="0"/>
          <w:numId w:val="12"/>
        </w:numPr>
        <w:jc w:val="both"/>
        <w:rPr>
          <w:b/>
          <w:bCs/>
        </w:rPr>
      </w:pPr>
      <w:r>
        <w:rPr>
          <w:b/>
          <w:bCs/>
        </w:rPr>
        <w:t>Reference Documents</w:t>
      </w:r>
    </w:p>
    <w:p w14:paraId="10EF747F" w14:textId="77777777" w:rsidR="00A632C8" w:rsidRDefault="00A632C8" w:rsidP="00A632C8">
      <w:pPr>
        <w:pStyle w:val="ListParagraph"/>
        <w:ind w:left="360"/>
        <w:jc w:val="both"/>
      </w:pPr>
      <w:r>
        <w:t>The following federal statutes, regulations, and guidance documents govern SCSEP and are provided for offeror reference. Offerors are strongly encouraged to review these prior to submitting a Proposal.</w:t>
      </w:r>
    </w:p>
    <w:p w14:paraId="4D54DCD7" w14:textId="77777777" w:rsidR="00A632C8" w:rsidRDefault="00A632C8" w:rsidP="00A632C8">
      <w:pPr>
        <w:pStyle w:val="ListParagraph"/>
        <w:ind w:left="360"/>
        <w:jc w:val="both"/>
      </w:pPr>
    </w:p>
    <w:p w14:paraId="195ADF20" w14:textId="77777777" w:rsidR="002A1AC1" w:rsidRDefault="00A632C8" w:rsidP="00007DE4">
      <w:pPr>
        <w:pStyle w:val="ListParagraph"/>
        <w:numPr>
          <w:ilvl w:val="1"/>
          <w:numId w:val="12"/>
        </w:numPr>
        <w:ind w:left="900" w:hanging="540"/>
        <w:jc w:val="both"/>
      </w:pPr>
      <w:r>
        <w:t xml:space="preserve">Senior Community Service Employment Program | U.S. Department of Labor: </w:t>
      </w:r>
    </w:p>
    <w:p w14:paraId="4BA9007E" w14:textId="45ADD655" w:rsidR="00A632C8" w:rsidRDefault="002A1AC1" w:rsidP="002A1AC1">
      <w:pPr>
        <w:pStyle w:val="ListParagraph"/>
        <w:ind w:left="900"/>
        <w:jc w:val="both"/>
      </w:pPr>
      <w:hyperlink r:id="rId15" w:history="1">
        <w:r>
          <w:rPr>
            <w:rStyle w:val="Hyperlink"/>
          </w:rPr>
          <w:t>https://www.dol.gov/agencies/eta/seniors</w:t>
        </w:r>
      </w:hyperlink>
      <w:r>
        <w:t xml:space="preserve">. </w:t>
      </w:r>
    </w:p>
    <w:p w14:paraId="2D84BA31" w14:textId="77777777" w:rsidR="00A632C8" w:rsidRDefault="00A632C8" w:rsidP="00007DE4">
      <w:pPr>
        <w:pStyle w:val="ListParagraph"/>
        <w:numPr>
          <w:ilvl w:val="1"/>
          <w:numId w:val="12"/>
        </w:numPr>
        <w:ind w:left="900" w:hanging="540"/>
        <w:jc w:val="both"/>
      </w:pPr>
      <w:r>
        <w:t xml:space="preserve">Federal Register: SCSEP Performance Accountability Final Rule (July 30, 2018): </w:t>
      </w:r>
      <w:hyperlink r:id="rId16" w:history="1">
        <w:r>
          <w:rPr>
            <w:rStyle w:val="Hyperlink"/>
          </w:rPr>
          <w:t>https://www.federalregister.gov/documents/2018/07/30/2018-16216/senior-community-service-employment-program-performance-accountability</w:t>
        </w:r>
      </w:hyperlink>
      <w:r>
        <w:t xml:space="preserve">. </w:t>
      </w:r>
    </w:p>
    <w:p w14:paraId="57E7AA2A" w14:textId="77777777" w:rsidR="00A632C8" w:rsidRDefault="00A632C8" w:rsidP="00007DE4">
      <w:pPr>
        <w:pStyle w:val="ListParagraph"/>
        <w:numPr>
          <w:ilvl w:val="1"/>
          <w:numId w:val="12"/>
        </w:numPr>
        <w:ind w:left="900" w:hanging="540"/>
        <w:jc w:val="both"/>
      </w:pPr>
      <w:r>
        <w:t xml:space="preserve">Supporting Older Americans Act of 2020, </w:t>
      </w:r>
      <w:hyperlink r:id="rId17" w:history="1">
        <w:r>
          <w:rPr>
            <w:rStyle w:val="Hyperlink"/>
          </w:rPr>
          <w:t>Pub. L. 116-131</w:t>
        </w:r>
      </w:hyperlink>
      <w:r>
        <w:t xml:space="preserve"> (March 25, 2020)</w:t>
      </w:r>
    </w:p>
    <w:p w14:paraId="6D77E838" w14:textId="77777777" w:rsidR="00A632C8" w:rsidRDefault="00A632C8" w:rsidP="00007DE4">
      <w:pPr>
        <w:pStyle w:val="ListParagraph"/>
        <w:numPr>
          <w:ilvl w:val="1"/>
          <w:numId w:val="12"/>
        </w:numPr>
        <w:ind w:left="900" w:hanging="540"/>
        <w:jc w:val="both"/>
      </w:pPr>
      <w:r>
        <w:t xml:space="preserve">Older Americans Act of 1965, as Amended: </w:t>
      </w:r>
      <w:hyperlink r:id="rId18" w:history="1">
        <w:r>
          <w:rPr>
            <w:rStyle w:val="Hyperlink"/>
          </w:rPr>
          <w:t>https://www.govinfo.gov/content/pkg/COMPS-829/pdf/COMPS-829.pdf</w:t>
        </w:r>
      </w:hyperlink>
      <w:r>
        <w:t xml:space="preserve">. </w:t>
      </w:r>
    </w:p>
    <w:p w14:paraId="2C1499D1" w14:textId="77777777" w:rsidR="00A632C8" w:rsidRDefault="00A632C8" w:rsidP="00007DE4">
      <w:pPr>
        <w:pStyle w:val="ListParagraph"/>
        <w:numPr>
          <w:ilvl w:val="1"/>
          <w:numId w:val="12"/>
        </w:numPr>
        <w:ind w:left="900" w:hanging="540"/>
        <w:jc w:val="both"/>
      </w:pPr>
      <w:hyperlink r:id="rId19" w:history="1">
        <w:r>
          <w:rPr>
            <w:rStyle w:val="Hyperlink"/>
          </w:rPr>
          <w:t>20 CFR Part 641, SCSEP Final Rule 2010</w:t>
        </w:r>
      </w:hyperlink>
      <w:r>
        <w:t xml:space="preserve">. </w:t>
      </w:r>
    </w:p>
    <w:p w14:paraId="7D26D9FF" w14:textId="77777777" w:rsidR="00A632C8" w:rsidRDefault="00A632C8" w:rsidP="00007DE4">
      <w:pPr>
        <w:pStyle w:val="ListParagraph"/>
        <w:numPr>
          <w:ilvl w:val="1"/>
          <w:numId w:val="12"/>
        </w:numPr>
        <w:ind w:left="900" w:hanging="540"/>
        <w:jc w:val="both"/>
      </w:pPr>
      <w:r>
        <w:t xml:space="preserve">USDOL Guidance and Resources (TEGLs): </w:t>
      </w:r>
      <w:hyperlink r:id="rId20" w:history="1">
        <w:r>
          <w:rPr>
            <w:rStyle w:val="Hyperlink"/>
          </w:rPr>
          <w:t>https://www.dol.gov/agencies/eta/seniors/technical-assistance</w:t>
        </w:r>
      </w:hyperlink>
      <w:r>
        <w:t xml:space="preserve">. </w:t>
      </w:r>
    </w:p>
    <w:p w14:paraId="56861188" w14:textId="77777777" w:rsidR="00A632C8" w:rsidRDefault="00A632C8" w:rsidP="00007DE4">
      <w:pPr>
        <w:pStyle w:val="ListParagraph"/>
        <w:numPr>
          <w:ilvl w:val="1"/>
          <w:numId w:val="12"/>
        </w:numPr>
        <w:ind w:left="900" w:hanging="540"/>
        <w:jc w:val="both"/>
      </w:pPr>
      <w:r>
        <w:t xml:space="preserve">Training and Employment Guidance Letter No. 12-06 (Income Inclusions/Exclusions): </w:t>
      </w:r>
      <w:hyperlink r:id="rId21" w:history="1">
        <w:r>
          <w:rPr>
            <w:rStyle w:val="Hyperlink"/>
          </w:rPr>
          <w:t>https://www.dol.gov/agencies/eta/advisories/training-and-employment-guidance-letter-no-12-06</w:t>
        </w:r>
      </w:hyperlink>
      <w:r>
        <w:t xml:space="preserve">. </w:t>
      </w:r>
    </w:p>
    <w:p w14:paraId="705B7F05" w14:textId="77777777" w:rsidR="00A632C8" w:rsidRDefault="00A632C8" w:rsidP="00007DE4">
      <w:pPr>
        <w:pStyle w:val="ListParagraph"/>
        <w:numPr>
          <w:ilvl w:val="1"/>
          <w:numId w:val="12"/>
        </w:numPr>
        <w:ind w:left="900" w:hanging="540"/>
        <w:jc w:val="both"/>
      </w:pPr>
      <w:r>
        <w:t xml:space="preserve">TEGL 10-09 (Veterans’ Priority of Service): </w:t>
      </w:r>
      <w:hyperlink r:id="rId22" w:history="1">
        <w:r>
          <w:rPr>
            <w:rStyle w:val="Hyperlink"/>
          </w:rPr>
          <w:t>https://www.dol.gov/agencies/eta/advisories/training-and-employment-guidance-letter-no-10-09</w:t>
        </w:r>
      </w:hyperlink>
      <w:r>
        <w:t xml:space="preserve">. </w:t>
      </w:r>
    </w:p>
    <w:p w14:paraId="3DDE8DCC" w14:textId="77777777" w:rsidR="00FA25EE" w:rsidRDefault="00FA25EE" w:rsidP="00FA25EE">
      <w:pPr>
        <w:pStyle w:val="ListParagraph"/>
        <w:ind w:left="900"/>
        <w:jc w:val="both"/>
      </w:pPr>
    </w:p>
    <w:p w14:paraId="0124E33F" w14:textId="60F8596A" w:rsidR="00A632C8" w:rsidRPr="00FA25EE" w:rsidRDefault="00FA25EE" w:rsidP="00007DE4">
      <w:pPr>
        <w:pStyle w:val="ListParagraph"/>
        <w:numPr>
          <w:ilvl w:val="0"/>
          <w:numId w:val="12"/>
        </w:numPr>
        <w:jc w:val="both"/>
        <w:rPr>
          <w:b/>
          <w:bCs/>
        </w:rPr>
      </w:pPr>
      <w:r>
        <w:rPr>
          <w:b/>
          <w:bCs/>
        </w:rPr>
        <w:t>Incorporated ICOA Policies</w:t>
      </w:r>
    </w:p>
    <w:p w14:paraId="7F2EA83F" w14:textId="725DDA0B" w:rsidR="00A632C8" w:rsidRDefault="00A632C8" w:rsidP="00A632C8">
      <w:pPr>
        <w:pStyle w:val="ListParagraph"/>
        <w:ind w:left="360"/>
        <w:jc w:val="both"/>
      </w:pPr>
      <w:r>
        <w:t>The following USDOL-approved ICOA policies are incorporated into the resulting Contract and are attached to this RFP as Exhibits 5 through 8. Offerors must review these policies prior to submitting a Proposal, as they directly govern Participant services, enrollment priority, terminations, and grievances:</w:t>
      </w:r>
    </w:p>
    <w:p w14:paraId="3BF97A37" w14:textId="77777777" w:rsidR="00A632C8" w:rsidRDefault="00A632C8" w:rsidP="00A632C8">
      <w:pPr>
        <w:pStyle w:val="ListParagraph"/>
        <w:ind w:left="360"/>
        <w:jc w:val="both"/>
      </w:pPr>
    </w:p>
    <w:p w14:paraId="186F2030" w14:textId="77777777" w:rsidR="004963FC" w:rsidRDefault="004963FC" w:rsidP="00007DE4">
      <w:pPr>
        <w:pStyle w:val="ListParagraph"/>
        <w:numPr>
          <w:ilvl w:val="1"/>
          <w:numId w:val="12"/>
        </w:numPr>
        <w:jc w:val="both"/>
      </w:pPr>
      <w:r>
        <w:t>Exhibit 5 - Veterans' Priority of Service Policy (Policy # SCSEP-2010-06)</w:t>
      </w:r>
    </w:p>
    <w:p w14:paraId="5E1E7B60" w14:textId="48D821C1" w:rsidR="00A632C8" w:rsidRPr="00AB037C" w:rsidRDefault="004963FC" w:rsidP="00007DE4">
      <w:pPr>
        <w:pStyle w:val="ListParagraph"/>
        <w:numPr>
          <w:ilvl w:val="1"/>
          <w:numId w:val="12"/>
        </w:numPr>
        <w:jc w:val="both"/>
      </w:pPr>
      <w:r>
        <w:t>Exhibit 6 - Durational Limits Policy (Policy # SCSEP-10/2018-D0525)</w:t>
      </w:r>
    </w:p>
    <w:p w14:paraId="526FF767" w14:textId="53DE7A0A" w:rsidR="00A632C8" w:rsidRPr="00AB037C" w:rsidRDefault="004963FC" w:rsidP="00007DE4">
      <w:pPr>
        <w:pStyle w:val="ListParagraph"/>
        <w:numPr>
          <w:ilvl w:val="1"/>
          <w:numId w:val="12"/>
        </w:numPr>
        <w:jc w:val="both"/>
      </w:pPr>
      <w:r>
        <w:t>Exhibit 7 - Participant Termination Policy (Policy # SCSEP-2018-T0817)</w:t>
      </w:r>
    </w:p>
    <w:p w14:paraId="2C7308FB" w14:textId="329E17DC" w:rsidR="00A632C8" w:rsidRPr="00AB037C" w:rsidRDefault="004963FC" w:rsidP="00007DE4">
      <w:pPr>
        <w:pStyle w:val="ListParagraph"/>
        <w:numPr>
          <w:ilvl w:val="1"/>
          <w:numId w:val="12"/>
        </w:numPr>
        <w:jc w:val="both"/>
      </w:pPr>
      <w:r>
        <w:t>Exhibit 8 - Participant Grievance Policy (Policy # SCSEP-2018-G0525)</w:t>
      </w:r>
    </w:p>
    <w:p w14:paraId="542C4180" w14:textId="77777777" w:rsidR="00A632C8" w:rsidRPr="00434A88" w:rsidRDefault="00A632C8" w:rsidP="00A632C8">
      <w:pPr>
        <w:pStyle w:val="ListParagraph"/>
        <w:ind w:left="792"/>
        <w:jc w:val="both"/>
      </w:pPr>
    </w:p>
    <w:p w14:paraId="40D9ADCE" w14:textId="77777777" w:rsidR="00A632C8" w:rsidRDefault="00A632C8" w:rsidP="00A632C8">
      <w:pPr>
        <w:pStyle w:val="ListParagraph"/>
        <w:ind w:left="360"/>
        <w:jc w:val="both"/>
        <w:rPr>
          <w:b/>
          <w:bCs/>
        </w:rPr>
      </w:pPr>
    </w:p>
    <w:p w14:paraId="79ED9DA9" w14:textId="77777777" w:rsidR="00A632C8" w:rsidRDefault="00A632C8" w:rsidP="00A632C8">
      <w:pPr>
        <w:pStyle w:val="ListParagraph"/>
        <w:ind w:left="360"/>
        <w:jc w:val="both"/>
        <w:rPr>
          <w:b/>
          <w:bCs/>
        </w:rPr>
      </w:pPr>
    </w:p>
    <w:p w14:paraId="2BC656D4" w14:textId="77777777" w:rsidR="00A632C8" w:rsidRPr="00BD66EB" w:rsidRDefault="00A632C8" w:rsidP="00A632C8">
      <w:pPr>
        <w:jc w:val="both"/>
        <w:rPr>
          <w:b/>
          <w:bCs/>
        </w:rPr>
      </w:pPr>
    </w:p>
    <w:p w14:paraId="72FDD55C" w14:textId="77777777" w:rsidR="00A632C8" w:rsidRPr="000C5A1F" w:rsidRDefault="00A632C8" w:rsidP="00A632C8">
      <w:pPr>
        <w:jc w:val="both"/>
        <w:rPr>
          <w:b/>
          <w:bCs/>
        </w:rPr>
      </w:pPr>
    </w:p>
    <w:p w14:paraId="0EEF1C2B" w14:textId="77777777" w:rsidR="00A632C8" w:rsidRDefault="00A632C8" w:rsidP="00A632C8">
      <w:pPr>
        <w:jc w:val="center"/>
        <w:rPr>
          <w:spacing w:val="20"/>
          <w:sz w:val="48"/>
          <w:szCs w:val="48"/>
        </w:rPr>
      </w:pPr>
    </w:p>
    <w:p w14:paraId="061846E9" w14:textId="77777777" w:rsidR="00A632C8" w:rsidRDefault="00A632C8" w:rsidP="00A632C8">
      <w:pPr>
        <w:jc w:val="center"/>
        <w:rPr>
          <w:spacing w:val="20"/>
          <w:sz w:val="48"/>
          <w:szCs w:val="48"/>
        </w:rPr>
      </w:pPr>
    </w:p>
    <w:p w14:paraId="7C0A6D5F" w14:textId="77777777" w:rsidR="00A632C8" w:rsidRDefault="00A632C8" w:rsidP="00895AFE">
      <w:pPr>
        <w:rPr>
          <w:spacing w:val="20"/>
          <w:sz w:val="48"/>
          <w:szCs w:val="48"/>
        </w:rPr>
      </w:pPr>
    </w:p>
    <w:p w14:paraId="3712BD97" w14:textId="77777777" w:rsidR="00A632C8" w:rsidRPr="00B84CEF" w:rsidRDefault="00A632C8" w:rsidP="00A632C8">
      <w:pPr>
        <w:jc w:val="center"/>
        <w:rPr>
          <w:spacing w:val="20"/>
          <w:sz w:val="48"/>
          <w:szCs w:val="48"/>
        </w:rPr>
      </w:pPr>
      <w:r>
        <w:rPr>
          <w:spacing w:val="20"/>
          <w:sz w:val="48"/>
          <w:szCs w:val="48"/>
        </w:rPr>
        <w:lastRenderedPageBreak/>
        <w:t>EXHIBIT 3</w:t>
      </w:r>
    </w:p>
    <w:p w14:paraId="650008DE" w14:textId="77777777" w:rsidR="00A632C8" w:rsidRPr="00B84CEF" w:rsidRDefault="00A632C8" w:rsidP="00A632C8">
      <w:pPr>
        <w:shd w:val="clear" w:color="auto" w:fill="F2F2F2" w:themeFill="background1" w:themeFillShade="F2"/>
        <w:jc w:val="center"/>
        <w:rPr>
          <w:b/>
          <w:bCs/>
          <w:spacing w:val="20"/>
          <w:sz w:val="36"/>
          <w:szCs w:val="36"/>
        </w:rPr>
      </w:pPr>
      <w:r>
        <w:rPr>
          <w:b/>
          <w:bCs/>
          <w:spacing w:val="20"/>
          <w:sz w:val="36"/>
          <w:szCs w:val="36"/>
        </w:rPr>
        <w:t>General Requirements</w:t>
      </w:r>
    </w:p>
    <w:p w14:paraId="4D6123A2" w14:textId="77777777" w:rsidR="00A632C8" w:rsidRPr="003E3CB7" w:rsidRDefault="00A632C8" w:rsidP="00A632C8">
      <w:pPr>
        <w:jc w:val="both"/>
        <w:rPr>
          <w:b/>
          <w:bCs/>
        </w:rPr>
      </w:pPr>
    </w:p>
    <w:p w14:paraId="22A0E8C7" w14:textId="77777777" w:rsidR="00A632C8" w:rsidRPr="003E3CB7" w:rsidRDefault="00A632C8" w:rsidP="00007DE4">
      <w:pPr>
        <w:pStyle w:val="ListParagraph"/>
        <w:numPr>
          <w:ilvl w:val="0"/>
          <w:numId w:val="13"/>
        </w:numPr>
        <w:jc w:val="both"/>
        <w:rPr>
          <w:b/>
          <w:bCs/>
        </w:rPr>
      </w:pPr>
      <w:r>
        <w:rPr>
          <w:b/>
          <w:bCs/>
        </w:rPr>
        <w:t>Contract Term</w:t>
      </w:r>
    </w:p>
    <w:p w14:paraId="120ED57D" w14:textId="5E2C8B09" w:rsidR="00A632C8" w:rsidRDefault="00A632C8" w:rsidP="00A632C8">
      <w:pPr>
        <w:pStyle w:val="ListParagraph"/>
        <w:ind w:left="360"/>
        <w:jc w:val="both"/>
      </w:pPr>
      <w:r>
        <w:t>The initial term of the Contract is one (1) year, subject to annual funding availability. Upon mutual written agreement, the Contract may be renewed, extended, or amended; the anticipated total Contract term, including renewals, is five (5) years. The Contract start date will be established at contract execution. The SCSEP program year runs July 1 through June 30.</w:t>
      </w:r>
    </w:p>
    <w:p w14:paraId="5E20E2EB" w14:textId="77777777" w:rsidR="00A632C8" w:rsidRPr="009A717B" w:rsidRDefault="00A632C8" w:rsidP="00A632C8">
      <w:pPr>
        <w:pStyle w:val="ListParagraph"/>
        <w:ind w:left="360"/>
        <w:jc w:val="both"/>
      </w:pPr>
    </w:p>
    <w:p w14:paraId="2EAE284A" w14:textId="77777777" w:rsidR="00A632C8" w:rsidRDefault="00A632C8" w:rsidP="00007DE4">
      <w:pPr>
        <w:pStyle w:val="ListParagraph"/>
        <w:numPr>
          <w:ilvl w:val="0"/>
          <w:numId w:val="13"/>
        </w:numPr>
        <w:jc w:val="both"/>
        <w:rPr>
          <w:b/>
          <w:bCs/>
        </w:rPr>
      </w:pPr>
      <w:r>
        <w:rPr>
          <w:b/>
          <w:bCs/>
        </w:rPr>
        <w:t>Compliance with Laws, Rules, and Regulations</w:t>
      </w:r>
    </w:p>
    <w:p w14:paraId="6A4C6D55" w14:textId="77777777" w:rsidR="00A632C8" w:rsidRDefault="00A632C8" w:rsidP="00A632C8">
      <w:pPr>
        <w:pStyle w:val="ListParagraph"/>
        <w:ind w:left="360"/>
        <w:jc w:val="both"/>
      </w:pPr>
      <w:r>
        <w:t>The Contractor must comply with all applicable federal and state laws, regulations, and program guidance throughout the term of the Contract, including but not limited to:</w:t>
      </w:r>
    </w:p>
    <w:p w14:paraId="110B368A" w14:textId="77777777" w:rsidR="00A632C8" w:rsidRPr="00BF412C" w:rsidRDefault="00A632C8" w:rsidP="00A632C8">
      <w:pPr>
        <w:pStyle w:val="ListParagraph"/>
        <w:ind w:left="360"/>
        <w:jc w:val="both"/>
      </w:pPr>
    </w:p>
    <w:p w14:paraId="76380BBE" w14:textId="77777777" w:rsidR="00A632C8" w:rsidRDefault="00A632C8" w:rsidP="00007DE4">
      <w:pPr>
        <w:pStyle w:val="ListParagraph"/>
        <w:numPr>
          <w:ilvl w:val="1"/>
          <w:numId w:val="13"/>
        </w:numPr>
        <w:jc w:val="both"/>
      </w:pPr>
      <w:r>
        <w:t>The Older Americans Act (OAA) of 1965, as amended by Pub. L. 116-131 (March 25, 2020), Title V;</w:t>
      </w:r>
    </w:p>
    <w:p w14:paraId="7A2BA90C" w14:textId="77777777" w:rsidR="00796E3D" w:rsidRDefault="00796E3D" w:rsidP="00796E3D">
      <w:pPr>
        <w:pStyle w:val="ListParagraph"/>
        <w:ind w:left="1008"/>
        <w:jc w:val="both"/>
      </w:pPr>
    </w:p>
    <w:p w14:paraId="5F278064" w14:textId="77777777" w:rsidR="00A632C8" w:rsidRDefault="00A632C8" w:rsidP="00007DE4">
      <w:pPr>
        <w:pStyle w:val="ListParagraph"/>
        <w:numPr>
          <w:ilvl w:val="1"/>
          <w:numId w:val="13"/>
        </w:numPr>
        <w:jc w:val="both"/>
      </w:pPr>
      <w:r>
        <w:t>20 CFR Part 641, SCSEP Final Rule;</w:t>
      </w:r>
    </w:p>
    <w:p w14:paraId="60169BA6" w14:textId="77777777" w:rsidR="00796E3D" w:rsidRDefault="00796E3D" w:rsidP="00796E3D">
      <w:pPr>
        <w:pStyle w:val="ListParagraph"/>
        <w:ind w:left="1008"/>
        <w:jc w:val="both"/>
      </w:pPr>
    </w:p>
    <w:p w14:paraId="09756CA6" w14:textId="77777777" w:rsidR="00A632C8" w:rsidRDefault="00A632C8" w:rsidP="00007DE4">
      <w:pPr>
        <w:pStyle w:val="ListParagraph"/>
        <w:numPr>
          <w:ilvl w:val="1"/>
          <w:numId w:val="13"/>
        </w:numPr>
        <w:jc w:val="both"/>
      </w:pPr>
      <w:r>
        <w:t>20 CFR Part 641 SCSEP Performance Accountability Final Rule;</w:t>
      </w:r>
    </w:p>
    <w:p w14:paraId="59A595B2" w14:textId="77777777" w:rsidR="00796E3D" w:rsidRDefault="00796E3D" w:rsidP="00796E3D">
      <w:pPr>
        <w:pStyle w:val="ListParagraph"/>
        <w:ind w:left="1008"/>
        <w:jc w:val="both"/>
      </w:pPr>
    </w:p>
    <w:p w14:paraId="78D5DA7E" w14:textId="77777777" w:rsidR="00A632C8" w:rsidRDefault="00A632C8" w:rsidP="00007DE4">
      <w:pPr>
        <w:pStyle w:val="ListParagraph"/>
        <w:numPr>
          <w:ilvl w:val="1"/>
          <w:numId w:val="13"/>
        </w:numPr>
        <w:jc w:val="both"/>
      </w:pPr>
      <w:r>
        <w:t>Workforce Innovation and Opportunity Act (WIOA) Final Rule;</w:t>
      </w:r>
    </w:p>
    <w:p w14:paraId="274564CA" w14:textId="77777777" w:rsidR="00796E3D" w:rsidRDefault="00796E3D" w:rsidP="00796E3D">
      <w:pPr>
        <w:pStyle w:val="ListParagraph"/>
        <w:ind w:left="1008"/>
        <w:jc w:val="both"/>
      </w:pPr>
    </w:p>
    <w:p w14:paraId="3F2C0AD6" w14:textId="77777777" w:rsidR="00A632C8" w:rsidRDefault="00A632C8" w:rsidP="00007DE4">
      <w:pPr>
        <w:pStyle w:val="ListParagraph"/>
        <w:numPr>
          <w:ilvl w:val="1"/>
          <w:numId w:val="13"/>
        </w:numPr>
        <w:jc w:val="both"/>
      </w:pPr>
      <w:r>
        <w:t>All Training and Employment Guidance Letters (TEGLs) issued by USDOL;</w:t>
      </w:r>
    </w:p>
    <w:p w14:paraId="0BA0AF48" w14:textId="77777777" w:rsidR="00796E3D" w:rsidRDefault="00796E3D" w:rsidP="00796E3D">
      <w:pPr>
        <w:pStyle w:val="ListParagraph"/>
        <w:ind w:left="1008"/>
        <w:jc w:val="both"/>
      </w:pPr>
    </w:p>
    <w:p w14:paraId="17A87F59" w14:textId="77777777" w:rsidR="00A632C8" w:rsidRDefault="00A632C8" w:rsidP="00007DE4">
      <w:pPr>
        <w:pStyle w:val="ListParagraph"/>
        <w:numPr>
          <w:ilvl w:val="1"/>
          <w:numId w:val="13"/>
        </w:numPr>
        <w:jc w:val="both"/>
      </w:pPr>
      <w:r>
        <w:t>All ICOA program guidance, including program manuals, technical guidance, memos, and data validation requirements;</w:t>
      </w:r>
    </w:p>
    <w:p w14:paraId="41DA310F" w14:textId="77777777" w:rsidR="00796E3D" w:rsidRPr="00046960" w:rsidRDefault="00796E3D" w:rsidP="00796E3D">
      <w:pPr>
        <w:pStyle w:val="ListParagraph"/>
        <w:ind w:left="1008"/>
        <w:jc w:val="both"/>
      </w:pPr>
    </w:p>
    <w:p w14:paraId="362A3760" w14:textId="77777777" w:rsidR="00A632C8" w:rsidRDefault="00A632C8" w:rsidP="00007DE4">
      <w:pPr>
        <w:pStyle w:val="ListParagraph"/>
        <w:numPr>
          <w:ilvl w:val="1"/>
          <w:numId w:val="13"/>
        </w:numPr>
        <w:jc w:val="both"/>
      </w:pPr>
      <w:r>
        <w:t>Idaho Code and applicable state regulations; and</w:t>
      </w:r>
    </w:p>
    <w:p w14:paraId="073A7163" w14:textId="77777777" w:rsidR="00796E3D" w:rsidRDefault="00796E3D" w:rsidP="00796E3D">
      <w:pPr>
        <w:pStyle w:val="ListParagraph"/>
        <w:ind w:left="1008"/>
        <w:jc w:val="both"/>
      </w:pPr>
    </w:p>
    <w:p w14:paraId="29F5F1D0" w14:textId="77777777" w:rsidR="00796E3D" w:rsidRDefault="00A632C8" w:rsidP="00007DE4">
      <w:pPr>
        <w:pStyle w:val="ListParagraph"/>
        <w:numPr>
          <w:ilvl w:val="1"/>
          <w:numId w:val="13"/>
        </w:numPr>
        <w:jc w:val="both"/>
      </w:pPr>
      <w:r>
        <w:t>2 CFR Part 200, Uniform Administrative Requirements, Cost Principles, and Audit Requirements for Federal Awards.</w:t>
      </w:r>
    </w:p>
    <w:p w14:paraId="5B4A7E8B" w14:textId="77777777" w:rsidR="00796E3D" w:rsidRDefault="00796E3D" w:rsidP="00796E3D">
      <w:pPr>
        <w:pStyle w:val="ListParagraph"/>
      </w:pPr>
    </w:p>
    <w:p w14:paraId="4BA7003C" w14:textId="5E1014AC" w:rsidR="00A632C8" w:rsidRDefault="00A632C8" w:rsidP="00007DE4">
      <w:pPr>
        <w:pStyle w:val="ListParagraph"/>
        <w:numPr>
          <w:ilvl w:val="1"/>
          <w:numId w:val="13"/>
        </w:numPr>
        <w:jc w:val="both"/>
      </w:pPr>
      <w:r>
        <w:t>The Contractor must also implement the following USDOL-approved ICOA policies, as may be updated from time to time with USDOL approval:</w:t>
      </w:r>
    </w:p>
    <w:p w14:paraId="60C0CBB8" w14:textId="77777777" w:rsidR="00A632C8" w:rsidRPr="00BF412C" w:rsidRDefault="00A632C8" w:rsidP="00A632C8">
      <w:pPr>
        <w:pStyle w:val="ListParagraph"/>
        <w:ind w:left="360"/>
        <w:jc w:val="both"/>
      </w:pPr>
    </w:p>
    <w:p w14:paraId="5F544E73" w14:textId="750D5F6D" w:rsidR="00A632C8" w:rsidRDefault="00A632C8" w:rsidP="00007DE4">
      <w:pPr>
        <w:pStyle w:val="ListParagraph"/>
        <w:numPr>
          <w:ilvl w:val="2"/>
          <w:numId w:val="13"/>
        </w:numPr>
        <w:jc w:val="both"/>
      </w:pPr>
      <w:r>
        <w:t>Durational Limits Policy (Policy # SCSEP-10/2018-D0525);</w:t>
      </w:r>
    </w:p>
    <w:p w14:paraId="44CE595B" w14:textId="77777777" w:rsidR="00421F8F" w:rsidRPr="004A4064" w:rsidRDefault="00421F8F" w:rsidP="00421F8F">
      <w:pPr>
        <w:pStyle w:val="ListParagraph"/>
        <w:ind w:left="1944"/>
        <w:jc w:val="both"/>
      </w:pPr>
    </w:p>
    <w:p w14:paraId="40526E3D" w14:textId="6482F6EF" w:rsidR="00A632C8" w:rsidRDefault="00D843DD" w:rsidP="00007DE4">
      <w:pPr>
        <w:pStyle w:val="ListParagraph"/>
        <w:numPr>
          <w:ilvl w:val="2"/>
          <w:numId w:val="13"/>
        </w:numPr>
        <w:jc w:val="both"/>
      </w:pPr>
      <w:r>
        <w:t>Participant Grievance Policy (Policy # SCSEP-2018-G0525);</w:t>
      </w:r>
    </w:p>
    <w:p w14:paraId="24B8EFB5" w14:textId="77777777" w:rsidR="00421F8F" w:rsidRPr="004A4064" w:rsidRDefault="00421F8F" w:rsidP="00421F8F">
      <w:pPr>
        <w:pStyle w:val="ListParagraph"/>
        <w:ind w:left="1944"/>
        <w:jc w:val="both"/>
      </w:pPr>
    </w:p>
    <w:p w14:paraId="355BF98B" w14:textId="5D248987" w:rsidR="00A632C8" w:rsidRDefault="00D843DD" w:rsidP="00007DE4">
      <w:pPr>
        <w:pStyle w:val="ListParagraph"/>
        <w:numPr>
          <w:ilvl w:val="2"/>
          <w:numId w:val="13"/>
        </w:numPr>
        <w:jc w:val="both"/>
      </w:pPr>
      <w:r>
        <w:t>Participant Termination Policy (Policy # SCSEP-2018-T0817); and</w:t>
      </w:r>
    </w:p>
    <w:p w14:paraId="11634D27" w14:textId="77777777" w:rsidR="00421F8F" w:rsidRPr="004A4064" w:rsidRDefault="00421F8F" w:rsidP="00421F8F">
      <w:pPr>
        <w:pStyle w:val="ListParagraph"/>
        <w:ind w:left="1944"/>
        <w:jc w:val="both"/>
      </w:pPr>
    </w:p>
    <w:p w14:paraId="24812C1B" w14:textId="77777777" w:rsidR="00A632C8" w:rsidRPr="004A4064" w:rsidRDefault="00A632C8" w:rsidP="00007DE4">
      <w:pPr>
        <w:pStyle w:val="ListParagraph"/>
        <w:numPr>
          <w:ilvl w:val="2"/>
          <w:numId w:val="13"/>
        </w:numPr>
        <w:jc w:val="both"/>
      </w:pPr>
      <w:r>
        <w:t>Veterans' Priority of Service Policy (Policy # SCSEP-2010-06).</w:t>
      </w:r>
    </w:p>
    <w:p w14:paraId="0A85BCC9" w14:textId="77777777" w:rsidR="00A632C8" w:rsidRDefault="00A632C8" w:rsidP="00A632C8">
      <w:pPr>
        <w:pStyle w:val="ListParagraph"/>
        <w:ind w:left="1008"/>
        <w:jc w:val="both"/>
      </w:pPr>
    </w:p>
    <w:p w14:paraId="47A82E9B" w14:textId="77777777" w:rsidR="00A632C8" w:rsidRPr="00BF412C" w:rsidRDefault="00A632C8" w:rsidP="00A632C8">
      <w:pPr>
        <w:pStyle w:val="ListParagraph"/>
        <w:ind w:left="360"/>
        <w:jc w:val="both"/>
      </w:pPr>
      <w:r>
        <w:t>If the Contractor operates under a USDOL-approved alternative policy for any of the above, the Contractor must provide documentation of USDOL approval to ICOA prior to contract execution.</w:t>
      </w:r>
    </w:p>
    <w:p w14:paraId="1A10C402" w14:textId="77777777" w:rsidR="00A632C8" w:rsidRDefault="00A632C8" w:rsidP="00A632C8">
      <w:pPr>
        <w:pStyle w:val="ListParagraph"/>
        <w:ind w:left="1008"/>
        <w:jc w:val="both"/>
        <w:rPr>
          <w:b/>
          <w:bCs/>
        </w:rPr>
      </w:pPr>
    </w:p>
    <w:p w14:paraId="5E8956DB" w14:textId="33EC620B" w:rsidR="00796E3D" w:rsidRDefault="00796E3D" w:rsidP="00007DE4">
      <w:pPr>
        <w:pStyle w:val="ListParagraph"/>
        <w:numPr>
          <w:ilvl w:val="0"/>
          <w:numId w:val="13"/>
        </w:numPr>
        <w:jc w:val="both"/>
        <w:rPr>
          <w:b/>
          <w:bCs/>
        </w:rPr>
      </w:pPr>
      <w:r>
        <w:rPr>
          <w:b/>
          <w:bCs/>
        </w:rPr>
        <w:t>Subcontractors</w:t>
      </w:r>
    </w:p>
    <w:p w14:paraId="59CFC4F6" w14:textId="77777777" w:rsidR="00A632C8" w:rsidRDefault="00A632C8" w:rsidP="00A632C8">
      <w:pPr>
        <w:pStyle w:val="ListParagraph"/>
        <w:ind w:left="360"/>
        <w:jc w:val="both"/>
      </w:pPr>
      <w:r>
        <w:t>The Contractor may utilize subcontractors to fulfill Contract requirements, subject to the following conditions:</w:t>
      </w:r>
    </w:p>
    <w:p w14:paraId="12C3E6B7" w14:textId="77777777" w:rsidR="00A632C8" w:rsidRPr="00F75840" w:rsidRDefault="00A632C8" w:rsidP="00A632C8">
      <w:pPr>
        <w:pStyle w:val="ListParagraph"/>
        <w:ind w:left="360"/>
        <w:jc w:val="both"/>
      </w:pPr>
    </w:p>
    <w:p w14:paraId="0076A9B1" w14:textId="77777777" w:rsidR="00A632C8" w:rsidRDefault="00A632C8" w:rsidP="00007DE4">
      <w:pPr>
        <w:pStyle w:val="ListParagraph"/>
        <w:numPr>
          <w:ilvl w:val="1"/>
          <w:numId w:val="13"/>
        </w:numPr>
        <w:jc w:val="both"/>
      </w:pPr>
      <w:r>
        <w:t>The Contractor must disclose all intended subcontractors to ICOA prior to or at contract execution.</w:t>
      </w:r>
    </w:p>
    <w:p w14:paraId="470FCF11" w14:textId="77777777" w:rsidR="005D0881" w:rsidRPr="00F75840" w:rsidRDefault="005D0881" w:rsidP="005D0881">
      <w:pPr>
        <w:pStyle w:val="ListParagraph"/>
        <w:ind w:left="1008"/>
        <w:jc w:val="both"/>
      </w:pPr>
    </w:p>
    <w:p w14:paraId="6358890C" w14:textId="77777777" w:rsidR="00A632C8" w:rsidRDefault="00A632C8" w:rsidP="00007DE4">
      <w:pPr>
        <w:pStyle w:val="ListParagraph"/>
        <w:numPr>
          <w:ilvl w:val="1"/>
          <w:numId w:val="13"/>
        </w:numPr>
        <w:jc w:val="both"/>
      </w:pPr>
      <w:r>
        <w:lastRenderedPageBreak/>
        <w:t>All subcontractors must comply with all applicable federal regulations, ICOA policies, and the full requirements of this Contract.</w:t>
      </w:r>
    </w:p>
    <w:p w14:paraId="1F9610AE" w14:textId="77777777" w:rsidR="005D0881" w:rsidRPr="00F75840" w:rsidRDefault="005D0881" w:rsidP="005D0881">
      <w:pPr>
        <w:jc w:val="both"/>
      </w:pPr>
    </w:p>
    <w:p w14:paraId="568E6F78" w14:textId="77777777" w:rsidR="00A632C8" w:rsidRDefault="00A632C8" w:rsidP="00007DE4">
      <w:pPr>
        <w:pStyle w:val="ListParagraph"/>
        <w:numPr>
          <w:ilvl w:val="1"/>
          <w:numId w:val="13"/>
        </w:numPr>
        <w:jc w:val="both"/>
      </w:pPr>
      <w:r>
        <w:t>The Contractor remains solely responsible to ICOA for all subcontractor performance.</w:t>
      </w:r>
    </w:p>
    <w:p w14:paraId="3722C398" w14:textId="77777777" w:rsidR="005D0881" w:rsidRPr="00F75840" w:rsidRDefault="005D0881" w:rsidP="005D0881">
      <w:pPr>
        <w:jc w:val="both"/>
      </w:pPr>
    </w:p>
    <w:p w14:paraId="3157394B" w14:textId="77777777" w:rsidR="00A632C8" w:rsidRDefault="00A632C8" w:rsidP="00007DE4">
      <w:pPr>
        <w:pStyle w:val="ListParagraph"/>
        <w:numPr>
          <w:ilvl w:val="1"/>
          <w:numId w:val="13"/>
        </w:numPr>
        <w:jc w:val="both"/>
      </w:pPr>
      <w:r>
        <w:t>The Contractor must ensure subcontractors maintain all required insurance coverage.</w:t>
      </w:r>
    </w:p>
    <w:p w14:paraId="45D16B4E" w14:textId="77777777" w:rsidR="005D0881" w:rsidRPr="00F75840" w:rsidRDefault="005D0881" w:rsidP="005D0881">
      <w:pPr>
        <w:jc w:val="both"/>
      </w:pPr>
    </w:p>
    <w:p w14:paraId="7A3DBEE5" w14:textId="77777777" w:rsidR="00A632C8" w:rsidRPr="00F75840" w:rsidRDefault="00A632C8" w:rsidP="00007DE4">
      <w:pPr>
        <w:pStyle w:val="ListParagraph"/>
        <w:numPr>
          <w:ilvl w:val="1"/>
          <w:numId w:val="13"/>
        </w:numPr>
        <w:jc w:val="both"/>
      </w:pPr>
      <w:r>
        <w:t>Any changes to subcontractors during the contract term must be approved by ICOA in advance.</w:t>
      </w:r>
    </w:p>
    <w:p w14:paraId="2DD1506D" w14:textId="77777777" w:rsidR="00A632C8" w:rsidRDefault="00A632C8" w:rsidP="00A632C8">
      <w:pPr>
        <w:pStyle w:val="ListParagraph"/>
        <w:ind w:left="1008"/>
        <w:jc w:val="both"/>
        <w:rPr>
          <w:b/>
          <w:bCs/>
        </w:rPr>
      </w:pPr>
    </w:p>
    <w:p w14:paraId="408DA8F6" w14:textId="77777777" w:rsidR="00A632C8" w:rsidRDefault="00A632C8" w:rsidP="00007DE4">
      <w:pPr>
        <w:pStyle w:val="ListParagraph"/>
        <w:numPr>
          <w:ilvl w:val="0"/>
          <w:numId w:val="13"/>
        </w:numPr>
        <w:jc w:val="both"/>
        <w:rPr>
          <w:b/>
          <w:bCs/>
        </w:rPr>
      </w:pPr>
      <w:r>
        <w:rPr>
          <w:b/>
          <w:bCs/>
        </w:rPr>
        <w:t>Records Maintenance</w:t>
      </w:r>
    </w:p>
    <w:p w14:paraId="1597BF49" w14:textId="43B88572" w:rsidR="00A632C8" w:rsidRDefault="00A632C8" w:rsidP="00A632C8">
      <w:pPr>
        <w:ind w:left="360"/>
        <w:jc w:val="both"/>
      </w:pPr>
      <w:r>
        <w:t>The Contractor must maintain or supervise the maintenance of all records necessary to properly account for all payments made to the Contractor pursuant to the Contract. In accordance with USDOL and OAA federal retention policies, the Contractor must retain all fiscal, programmatic, and Participant records for a minimum of three (3) years following the final follow-up activity, grant closeout, or completion of any applicable audit, whichever is later.</w:t>
      </w:r>
    </w:p>
    <w:p w14:paraId="799205CB" w14:textId="77777777" w:rsidR="00A632C8" w:rsidRPr="00F85734" w:rsidRDefault="00A632C8" w:rsidP="00A632C8">
      <w:pPr>
        <w:jc w:val="both"/>
      </w:pPr>
    </w:p>
    <w:p w14:paraId="71F53860" w14:textId="77777777" w:rsidR="00A632C8" w:rsidRDefault="00A632C8" w:rsidP="00007DE4">
      <w:pPr>
        <w:pStyle w:val="ListParagraph"/>
        <w:numPr>
          <w:ilvl w:val="0"/>
          <w:numId w:val="13"/>
        </w:numPr>
        <w:jc w:val="both"/>
        <w:rPr>
          <w:b/>
          <w:bCs/>
        </w:rPr>
      </w:pPr>
      <w:r>
        <w:rPr>
          <w:b/>
          <w:bCs/>
        </w:rPr>
        <w:t>Audit Rights</w:t>
      </w:r>
    </w:p>
    <w:p w14:paraId="6780AFFC" w14:textId="77777777" w:rsidR="00A632C8" w:rsidRPr="00F85734" w:rsidRDefault="00A632C8" w:rsidP="00A632C8">
      <w:pPr>
        <w:pStyle w:val="ListParagraph"/>
        <w:ind w:left="360"/>
        <w:jc w:val="both"/>
      </w:pPr>
      <w:r>
        <w:t>The Contractor agrees to allow State and Federal auditors and State purchasing staff access to all records relating to this Contract for purposes of audit, inspection, and monitoring of services or performance. Such access will be during normal business hours or by appointment. This includes records maintained by any subcontractors.</w:t>
      </w:r>
    </w:p>
    <w:p w14:paraId="4EEC5327" w14:textId="77777777" w:rsidR="00A632C8" w:rsidRDefault="00A632C8" w:rsidP="00A632C8">
      <w:pPr>
        <w:pStyle w:val="ListParagraph"/>
        <w:ind w:left="360"/>
        <w:jc w:val="both"/>
        <w:rPr>
          <w:b/>
          <w:bCs/>
        </w:rPr>
      </w:pPr>
    </w:p>
    <w:p w14:paraId="35F6339A" w14:textId="77777777" w:rsidR="00500DEE" w:rsidRDefault="00A632C8" w:rsidP="00007DE4">
      <w:pPr>
        <w:pStyle w:val="ListParagraph"/>
        <w:numPr>
          <w:ilvl w:val="0"/>
          <w:numId w:val="13"/>
        </w:numPr>
        <w:jc w:val="both"/>
        <w:rPr>
          <w:b/>
          <w:bCs/>
        </w:rPr>
      </w:pPr>
      <w:r>
        <w:rPr>
          <w:b/>
          <w:bCs/>
        </w:rPr>
        <w:t>Billing Procedure</w:t>
      </w:r>
    </w:p>
    <w:p w14:paraId="6681E39E" w14:textId="37E04A89" w:rsidR="00A632C8" w:rsidRPr="00500DEE" w:rsidRDefault="00A632C8" w:rsidP="00500DEE">
      <w:pPr>
        <w:pStyle w:val="ListParagraph"/>
        <w:ind w:left="360"/>
        <w:jc w:val="both"/>
        <w:rPr>
          <w:b/>
          <w:bCs/>
        </w:rPr>
      </w:pPr>
      <w:r>
        <w:t>The Contractor must provide an invoice monthly, no later than the 25th of the month following the close of each operating month. The Contractor is required to submit Idaho DOL and US DOL reports monthly and assist with State Plan development and WIOA reporting responsibilities as required. No invoice will be accepted or paid without receipt of required reports and supporting documentation. Invoices submitted without the required documentation will be returned to the Contractor for resubmission.</w:t>
      </w:r>
    </w:p>
    <w:p w14:paraId="556360FD" w14:textId="77777777" w:rsidR="00500DEE" w:rsidRPr="00500DEE" w:rsidRDefault="00500DEE" w:rsidP="00500DEE">
      <w:pPr>
        <w:pStyle w:val="ListParagraph"/>
        <w:ind w:left="360"/>
        <w:jc w:val="both"/>
        <w:rPr>
          <w:b/>
          <w:bCs/>
        </w:rPr>
      </w:pPr>
    </w:p>
    <w:p w14:paraId="12C8F2FD" w14:textId="70E3CA2B" w:rsidR="00500DEE" w:rsidRPr="00500DEE" w:rsidRDefault="00500DEE" w:rsidP="00007DE4">
      <w:pPr>
        <w:pStyle w:val="ListParagraph"/>
        <w:numPr>
          <w:ilvl w:val="1"/>
          <w:numId w:val="13"/>
        </w:numPr>
        <w:jc w:val="both"/>
        <w:rPr>
          <w:b/>
          <w:bCs/>
        </w:rPr>
      </w:pPr>
      <w:r>
        <w:t>The Contractor must provide the following information with each invoice:</w:t>
      </w:r>
    </w:p>
    <w:p w14:paraId="666BBB36" w14:textId="77777777" w:rsidR="00A632C8" w:rsidRPr="000B287E" w:rsidRDefault="00A632C8" w:rsidP="00A632C8">
      <w:pPr>
        <w:pStyle w:val="ListParagraph"/>
        <w:ind w:left="1008"/>
        <w:jc w:val="both"/>
      </w:pPr>
    </w:p>
    <w:p w14:paraId="5F2241E4" w14:textId="77777777" w:rsidR="00001BC3" w:rsidRPr="00001BC3" w:rsidRDefault="00001BC3" w:rsidP="00001BC3">
      <w:pPr>
        <w:pStyle w:val="ListParagraph"/>
        <w:numPr>
          <w:ilvl w:val="0"/>
          <w:numId w:val="23"/>
        </w:numPr>
        <w:jc w:val="both"/>
        <w:rPr>
          <w:vanish/>
        </w:rPr>
      </w:pPr>
    </w:p>
    <w:p w14:paraId="70FCCB8F" w14:textId="77777777" w:rsidR="00001BC3" w:rsidRPr="00001BC3" w:rsidRDefault="00001BC3" w:rsidP="00001BC3">
      <w:pPr>
        <w:pStyle w:val="ListParagraph"/>
        <w:numPr>
          <w:ilvl w:val="0"/>
          <w:numId w:val="23"/>
        </w:numPr>
        <w:jc w:val="both"/>
        <w:rPr>
          <w:vanish/>
        </w:rPr>
      </w:pPr>
    </w:p>
    <w:p w14:paraId="5C40D128" w14:textId="77777777" w:rsidR="00001BC3" w:rsidRPr="00001BC3" w:rsidRDefault="00001BC3" w:rsidP="00001BC3">
      <w:pPr>
        <w:pStyle w:val="ListParagraph"/>
        <w:numPr>
          <w:ilvl w:val="0"/>
          <w:numId w:val="23"/>
        </w:numPr>
        <w:jc w:val="both"/>
        <w:rPr>
          <w:vanish/>
        </w:rPr>
      </w:pPr>
    </w:p>
    <w:p w14:paraId="793C90C1" w14:textId="77777777" w:rsidR="00001BC3" w:rsidRPr="00001BC3" w:rsidRDefault="00001BC3" w:rsidP="00001BC3">
      <w:pPr>
        <w:pStyle w:val="ListParagraph"/>
        <w:numPr>
          <w:ilvl w:val="0"/>
          <w:numId w:val="23"/>
        </w:numPr>
        <w:jc w:val="both"/>
        <w:rPr>
          <w:vanish/>
        </w:rPr>
      </w:pPr>
    </w:p>
    <w:p w14:paraId="05E8C741" w14:textId="77777777" w:rsidR="00001BC3" w:rsidRPr="00001BC3" w:rsidRDefault="00001BC3" w:rsidP="00001BC3">
      <w:pPr>
        <w:pStyle w:val="ListParagraph"/>
        <w:numPr>
          <w:ilvl w:val="0"/>
          <w:numId w:val="23"/>
        </w:numPr>
        <w:jc w:val="both"/>
        <w:rPr>
          <w:vanish/>
        </w:rPr>
      </w:pPr>
    </w:p>
    <w:p w14:paraId="3CD2455E" w14:textId="77777777" w:rsidR="00001BC3" w:rsidRPr="00001BC3" w:rsidRDefault="00001BC3" w:rsidP="00001BC3">
      <w:pPr>
        <w:pStyle w:val="ListParagraph"/>
        <w:numPr>
          <w:ilvl w:val="0"/>
          <w:numId w:val="23"/>
        </w:numPr>
        <w:jc w:val="both"/>
        <w:rPr>
          <w:vanish/>
        </w:rPr>
      </w:pPr>
    </w:p>
    <w:p w14:paraId="6AD82E97" w14:textId="77777777" w:rsidR="00001BC3" w:rsidRPr="00001BC3" w:rsidRDefault="00001BC3" w:rsidP="00001BC3">
      <w:pPr>
        <w:pStyle w:val="ListParagraph"/>
        <w:numPr>
          <w:ilvl w:val="0"/>
          <w:numId w:val="23"/>
        </w:numPr>
        <w:jc w:val="both"/>
        <w:rPr>
          <w:vanish/>
        </w:rPr>
      </w:pPr>
    </w:p>
    <w:p w14:paraId="0F53DAE3" w14:textId="77777777" w:rsidR="00001BC3" w:rsidRPr="00001BC3" w:rsidRDefault="00001BC3" w:rsidP="00001BC3">
      <w:pPr>
        <w:pStyle w:val="ListParagraph"/>
        <w:numPr>
          <w:ilvl w:val="0"/>
          <w:numId w:val="23"/>
        </w:numPr>
        <w:jc w:val="both"/>
        <w:rPr>
          <w:vanish/>
        </w:rPr>
      </w:pPr>
    </w:p>
    <w:p w14:paraId="03ED2AC5" w14:textId="77777777" w:rsidR="00001BC3" w:rsidRPr="00001BC3" w:rsidRDefault="00001BC3" w:rsidP="00001BC3">
      <w:pPr>
        <w:pStyle w:val="ListParagraph"/>
        <w:numPr>
          <w:ilvl w:val="0"/>
          <w:numId w:val="23"/>
        </w:numPr>
        <w:jc w:val="both"/>
        <w:rPr>
          <w:vanish/>
        </w:rPr>
      </w:pPr>
    </w:p>
    <w:p w14:paraId="3FDCB4A3" w14:textId="77777777" w:rsidR="00001BC3" w:rsidRPr="00001BC3" w:rsidRDefault="00001BC3" w:rsidP="00001BC3">
      <w:pPr>
        <w:pStyle w:val="ListParagraph"/>
        <w:numPr>
          <w:ilvl w:val="0"/>
          <w:numId w:val="23"/>
        </w:numPr>
        <w:jc w:val="both"/>
        <w:rPr>
          <w:vanish/>
        </w:rPr>
      </w:pPr>
    </w:p>
    <w:p w14:paraId="5EF564EA" w14:textId="77777777" w:rsidR="00001BC3" w:rsidRPr="00001BC3" w:rsidRDefault="00001BC3" w:rsidP="00001BC3">
      <w:pPr>
        <w:pStyle w:val="ListParagraph"/>
        <w:numPr>
          <w:ilvl w:val="0"/>
          <w:numId w:val="23"/>
        </w:numPr>
        <w:jc w:val="both"/>
        <w:rPr>
          <w:vanish/>
        </w:rPr>
      </w:pPr>
    </w:p>
    <w:p w14:paraId="70F5B84A" w14:textId="77777777" w:rsidR="00001BC3" w:rsidRPr="00001BC3" w:rsidRDefault="00001BC3" w:rsidP="00001BC3">
      <w:pPr>
        <w:pStyle w:val="ListParagraph"/>
        <w:numPr>
          <w:ilvl w:val="0"/>
          <w:numId w:val="23"/>
        </w:numPr>
        <w:jc w:val="both"/>
        <w:rPr>
          <w:vanish/>
        </w:rPr>
      </w:pPr>
    </w:p>
    <w:p w14:paraId="677BB6B0" w14:textId="77777777" w:rsidR="00001BC3" w:rsidRPr="00001BC3" w:rsidRDefault="00001BC3" w:rsidP="00001BC3">
      <w:pPr>
        <w:pStyle w:val="ListParagraph"/>
        <w:numPr>
          <w:ilvl w:val="1"/>
          <w:numId w:val="23"/>
        </w:numPr>
        <w:jc w:val="both"/>
        <w:rPr>
          <w:vanish/>
        </w:rPr>
      </w:pPr>
    </w:p>
    <w:p w14:paraId="4DF9FFED" w14:textId="1DABEBA4" w:rsidR="00A632C8" w:rsidRDefault="00A632C8" w:rsidP="00001BC3">
      <w:pPr>
        <w:pStyle w:val="ListParagraph"/>
        <w:numPr>
          <w:ilvl w:val="2"/>
          <w:numId w:val="23"/>
        </w:numPr>
        <w:jc w:val="both"/>
      </w:pPr>
      <w:r>
        <w:t>IPRO contract number (and name of project/product, if appropriate) and Agency PO number;</w:t>
      </w:r>
    </w:p>
    <w:p w14:paraId="321BF30E" w14:textId="77777777" w:rsidR="007C41FC" w:rsidRDefault="007C41FC" w:rsidP="007C41FC">
      <w:pPr>
        <w:pStyle w:val="ListParagraph"/>
        <w:ind w:left="1944"/>
        <w:jc w:val="both"/>
      </w:pPr>
    </w:p>
    <w:p w14:paraId="0ADC03DD" w14:textId="77777777" w:rsidR="00A632C8" w:rsidRDefault="00A632C8" w:rsidP="00007DE4">
      <w:pPr>
        <w:pStyle w:val="ListParagraph"/>
        <w:numPr>
          <w:ilvl w:val="2"/>
          <w:numId w:val="23"/>
        </w:numPr>
        <w:jc w:val="both"/>
      </w:pPr>
      <w:r>
        <w:t>Identification of billing period;</w:t>
      </w:r>
    </w:p>
    <w:p w14:paraId="1701E572" w14:textId="77777777" w:rsidR="007C41FC" w:rsidRDefault="007C41FC" w:rsidP="007C41FC">
      <w:pPr>
        <w:pStyle w:val="ListParagraph"/>
        <w:ind w:left="1944"/>
        <w:jc w:val="both"/>
      </w:pPr>
    </w:p>
    <w:p w14:paraId="358CE3D1" w14:textId="77777777" w:rsidR="00A632C8" w:rsidRDefault="00A632C8" w:rsidP="00007DE4">
      <w:pPr>
        <w:pStyle w:val="ListParagraph"/>
        <w:numPr>
          <w:ilvl w:val="2"/>
          <w:numId w:val="23"/>
        </w:numPr>
        <w:jc w:val="both"/>
      </w:pPr>
      <w:r>
        <w:t>Total amount billed for the billing period;</w:t>
      </w:r>
    </w:p>
    <w:p w14:paraId="5907001E" w14:textId="77777777" w:rsidR="007C41FC" w:rsidRDefault="007C41FC" w:rsidP="007C41FC">
      <w:pPr>
        <w:pStyle w:val="ListParagraph"/>
        <w:ind w:left="1944"/>
        <w:jc w:val="both"/>
      </w:pPr>
    </w:p>
    <w:p w14:paraId="790C9B0B" w14:textId="77777777" w:rsidR="00A632C8" w:rsidRDefault="00A632C8" w:rsidP="00007DE4">
      <w:pPr>
        <w:pStyle w:val="ListParagraph"/>
        <w:numPr>
          <w:ilvl w:val="2"/>
          <w:numId w:val="23"/>
        </w:numPr>
        <w:jc w:val="both"/>
      </w:pPr>
      <w:r>
        <w:t>Detailed description of services/products provided and associated number of hours and dollar amounts, as appropriate; and</w:t>
      </w:r>
    </w:p>
    <w:p w14:paraId="0C7D15A5" w14:textId="77777777" w:rsidR="007C41FC" w:rsidRDefault="007C41FC" w:rsidP="007C41FC">
      <w:pPr>
        <w:pStyle w:val="ListParagraph"/>
        <w:ind w:left="1944"/>
        <w:jc w:val="both"/>
      </w:pPr>
    </w:p>
    <w:p w14:paraId="73A4F831" w14:textId="77777777" w:rsidR="00A632C8" w:rsidRDefault="00A632C8" w:rsidP="00007DE4">
      <w:pPr>
        <w:pStyle w:val="ListParagraph"/>
        <w:numPr>
          <w:ilvl w:val="2"/>
          <w:numId w:val="23"/>
        </w:numPr>
        <w:jc w:val="both"/>
      </w:pPr>
      <w:r>
        <w:t>Name of authorized individual and contact information for Contractor.</w:t>
      </w:r>
    </w:p>
    <w:p w14:paraId="1AD2721B" w14:textId="77777777" w:rsidR="00A632C8" w:rsidRPr="000B287E" w:rsidRDefault="00A632C8" w:rsidP="00A632C8">
      <w:pPr>
        <w:pStyle w:val="ListParagraph"/>
        <w:ind w:left="1944"/>
        <w:jc w:val="both"/>
      </w:pPr>
    </w:p>
    <w:p w14:paraId="1670247E" w14:textId="50913C4D" w:rsidR="00A632C8" w:rsidRDefault="00A632C8" w:rsidP="00007DE4">
      <w:pPr>
        <w:pStyle w:val="ListParagraph"/>
        <w:numPr>
          <w:ilvl w:val="1"/>
          <w:numId w:val="23"/>
        </w:numPr>
        <w:jc w:val="both"/>
      </w:pPr>
      <w:r>
        <w:t xml:space="preserve">Invoices are to be submitted to: </w:t>
      </w:r>
    </w:p>
    <w:p w14:paraId="6734AF77" w14:textId="77777777" w:rsidR="00A632C8" w:rsidRPr="000B287E" w:rsidRDefault="00A632C8" w:rsidP="00A632C8">
      <w:pPr>
        <w:pStyle w:val="ListParagraph"/>
        <w:ind w:left="1008"/>
        <w:jc w:val="both"/>
      </w:pPr>
    </w:p>
    <w:p w14:paraId="6B3C632F" w14:textId="77777777" w:rsidR="00A632C8" w:rsidRDefault="00A632C8" w:rsidP="00007DE4">
      <w:pPr>
        <w:pStyle w:val="ListParagraph"/>
        <w:numPr>
          <w:ilvl w:val="2"/>
          <w:numId w:val="23"/>
        </w:numPr>
        <w:jc w:val="both"/>
      </w:pPr>
      <w:r>
        <w:t xml:space="preserve">Agency Billing E-Mail: </w:t>
      </w:r>
      <w:hyperlink r:id="rId23" w:history="1">
        <w:r>
          <w:rPr>
            <w:rStyle w:val="Hyperlink"/>
          </w:rPr>
          <w:t>Invoices@aging.idaho.gov</w:t>
        </w:r>
      </w:hyperlink>
    </w:p>
    <w:p w14:paraId="6ABB7A9E" w14:textId="77777777" w:rsidR="007C41FC" w:rsidRPr="000B287E" w:rsidRDefault="007C41FC" w:rsidP="007C41FC">
      <w:pPr>
        <w:pStyle w:val="ListParagraph"/>
        <w:ind w:left="1944"/>
        <w:jc w:val="both"/>
      </w:pPr>
    </w:p>
    <w:p w14:paraId="06B6050D" w14:textId="77777777" w:rsidR="00A632C8" w:rsidRDefault="00A632C8" w:rsidP="00007DE4">
      <w:pPr>
        <w:pStyle w:val="ListParagraph"/>
        <w:numPr>
          <w:ilvl w:val="2"/>
          <w:numId w:val="23"/>
        </w:numPr>
        <w:jc w:val="both"/>
      </w:pPr>
      <w:r>
        <w:t>Agency Name: Idaho Commission on Aging</w:t>
      </w:r>
    </w:p>
    <w:p w14:paraId="23E29A35" w14:textId="77777777" w:rsidR="007C41FC" w:rsidRPr="000B287E" w:rsidRDefault="007C41FC" w:rsidP="007C41FC">
      <w:pPr>
        <w:pStyle w:val="ListParagraph"/>
        <w:ind w:left="1944"/>
        <w:jc w:val="both"/>
      </w:pPr>
    </w:p>
    <w:p w14:paraId="0FEC8AAF" w14:textId="77777777" w:rsidR="00A632C8" w:rsidRPr="000B287E" w:rsidRDefault="00A632C8" w:rsidP="00007DE4">
      <w:pPr>
        <w:pStyle w:val="ListParagraph"/>
        <w:numPr>
          <w:ilvl w:val="2"/>
          <w:numId w:val="23"/>
        </w:numPr>
        <w:jc w:val="both"/>
      </w:pPr>
      <w:r>
        <w:t>Address: 6305 W. Overland Rd Suite 110 Boise Idaho 83709</w:t>
      </w:r>
    </w:p>
    <w:p w14:paraId="00910F94" w14:textId="77777777" w:rsidR="00A632C8" w:rsidRPr="00FA7FDD" w:rsidRDefault="00A632C8" w:rsidP="00A632C8">
      <w:pPr>
        <w:jc w:val="both"/>
        <w:rPr>
          <w:b/>
          <w:bCs/>
        </w:rPr>
      </w:pPr>
    </w:p>
    <w:p w14:paraId="580F567D" w14:textId="77777777" w:rsidR="00A632C8" w:rsidRDefault="00A632C8" w:rsidP="00007DE4">
      <w:pPr>
        <w:pStyle w:val="ListParagraph"/>
        <w:numPr>
          <w:ilvl w:val="0"/>
          <w:numId w:val="13"/>
        </w:numPr>
        <w:jc w:val="both"/>
        <w:rPr>
          <w:b/>
          <w:bCs/>
        </w:rPr>
      </w:pPr>
      <w:r>
        <w:rPr>
          <w:b/>
          <w:bCs/>
        </w:rPr>
        <w:t>Contract Monitoring</w:t>
      </w:r>
    </w:p>
    <w:p w14:paraId="5F75DC51" w14:textId="77777777" w:rsidR="00A632C8" w:rsidRDefault="00A632C8" w:rsidP="00A632C8">
      <w:pPr>
        <w:pStyle w:val="ListParagraph"/>
        <w:ind w:left="360"/>
        <w:jc w:val="both"/>
      </w:pPr>
      <w:r>
        <w:t>ICOA will monitor Contractor performance on an ongoing basis through the following mechanisms:</w:t>
      </w:r>
    </w:p>
    <w:p w14:paraId="4791EBBD" w14:textId="77777777" w:rsidR="00A632C8" w:rsidRPr="00F85734" w:rsidRDefault="00A632C8" w:rsidP="00A632C8">
      <w:pPr>
        <w:pStyle w:val="ListParagraph"/>
        <w:ind w:left="360"/>
        <w:jc w:val="both"/>
      </w:pPr>
    </w:p>
    <w:p w14:paraId="440D831B" w14:textId="77777777" w:rsidR="00A632C8" w:rsidRDefault="00A632C8" w:rsidP="00007DE4">
      <w:pPr>
        <w:pStyle w:val="ListParagraph"/>
        <w:numPr>
          <w:ilvl w:val="1"/>
          <w:numId w:val="13"/>
        </w:numPr>
        <w:jc w:val="both"/>
      </w:pPr>
      <w:r>
        <w:t>Monthly program meetings and quarterly financial meetings (see Exhibit 4, Section 13);</w:t>
      </w:r>
    </w:p>
    <w:p w14:paraId="09DC67E4" w14:textId="77777777" w:rsidR="005D0881" w:rsidRPr="00F85734" w:rsidRDefault="005D0881" w:rsidP="005D0881">
      <w:pPr>
        <w:pStyle w:val="ListParagraph"/>
        <w:ind w:left="1008"/>
        <w:jc w:val="both"/>
      </w:pPr>
    </w:p>
    <w:p w14:paraId="556B8DA8" w14:textId="77777777" w:rsidR="00A632C8" w:rsidRDefault="00A632C8" w:rsidP="00007DE4">
      <w:pPr>
        <w:pStyle w:val="ListParagraph"/>
        <w:numPr>
          <w:ilvl w:val="1"/>
          <w:numId w:val="13"/>
        </w:numPr>
        <w:jc w:val="both"/>
      </w:pPr>
      <w:r>
        <w:lastRenderedPageBreak/>
        <w:t>Review of all required reports (see Exhibit 4, Section 16);</w:t>
      </w:r>
    </w:p>
    <w:p w14:paraId="41D7283A" w14:textId="77777777" w:rsidR="005D0881" w:rsidRPr="00F85734" w:rsidRDefault="005D0881" w:rsidP="005D0881">
      <w:pPr>
        <w:jc w:val="both"/>
      </w:pPr>
    </w:p>
    <w:p w14:paraId="1A26409F" w14:textId="77777777" w:rsidR="00A632C8" w:rsidRDefault="00A632C8" w:rsidP="00007DE4">
      <w:pPr>
        <w:pStyle w:val="ListParagraph"/>
        <w:numPr>
          <w:ilvl w:val="1"/>
          <w:numId w:val="13"/>
        </w:numPr>
        <w:jc w:val="both"/>
      </w:pPr>
      <w:r>
        <w:t>Review of monthly reimbursement requests and supporting documentation;</w:t>
      </w:r>
    </w:p>
    <w:p w14:paraId="2E42EC33" w14:textId="77777777" w:rsidR="005D0881" w:rsidRPr="00F85734" w:rsidRDefault="005D0881" w:rsidP="005D0881">
      <w:pPr>
        <w:jc w:val="both"/>
      </w:pPr>
    </w:p>
    <w:p w14:paraId="4889DE64" w14:textId="234C55B6" w:rsidR="00A632C8" w:rsidRDefault="00A632C8" w:rsidP="00007DE4">
      <w:pPr>
        <w:pStyle w:val="ListParagraph"/>
        <w:numPr>
          <w:ilvl w:val="1"/>
          <w:numId w:val="13"/>
        </w:numPr>
        <w:jc w:val="both"/>
      </w:pPr>
      <w:r>
        <w:t xml:space="preserve"> Quarterly data validation review (USDOL system-generated sample, which may include an on-site review);</w:t>
      </w:r>
    </w:p>
    <w:p w14:paraId="25741264" w14:textId="77777777" w:rsidR="005D0881" w:rsidRPr="00F85734" w:rsidRDefault="005D0881" w:rsidP="005D0881">
      <w:pPr>
        <w:jc w:val="both"/>
      </w:pPr>
    </w:p>
    <w:p w14:paraId="6C2578DE" w14:textId="77777777" w:rsidR="00A632C8" w:rsidRDefault="00A632C8" w:rsidP="00007DE4">
      <w:pPr>
        <w:pStyle w:val="ListParagraph"/>
        <w:numPr>
          <w:ilvl w:val="1"/>
          <w:numId w:val="13"/>
        </w:numPr>
        <w:jc w:val="both"/>
      </w:pPr>
      <w:r>
        <w:t>Annual programmatic review; and</w:t>
      </w:r>
    </w:p>
    <w:p w14:paraId="1EC4897D" w14:textId="77777777" w:rsidR="005D0881" w:rsidRPr="00F85734" w:rsidRDefault="005D0881" w:rsidP="005D0881">
      <w:pPr>
        <w:jc w:val="both"/>
      </w:pPr>
    </w:p>
    <w:p w14:paraId="749AD4FB" w14:textId="77777777" w:rsidR="00A632C8" w:rsidRDefault="00A632C8" w:rsidP="00007DE4">
      <w:pPr>
        <w:pStyle w:val="ListParagraph"/>
        <w:numPr>
          <w:ilvl w:val="1"/>
          <w:numId w:val="13"/>
        </w:numPr>
        <w:jc w:val="both"/>
      </w:pPr>
      <w:r>
        <w:t>GPMS performance data review.</w:t>
      </w:r>
    </w:p>
    <w:p w14:paraId="72E99698" w14:textId="77777777" w:rsidR="00A632C8" w:rsidRPr="00151BA9" w:rsidRDefault="00A632C8" w:rsidP="00A632C8">
      <w:pPr>
        <w:pStyle w:val="ListParagraph"/>
        <w:ind w:left="1008"/>
        <w:jc w:val="both"/>
      </w:pPr>
    </w:p>
    <w:p w14:paraId="06433757" w14:textId="77777777" w:rsidR="00A632C8" w:rsidRDefault="00A632C8" w:rsidP="00007DE4">
      <w:pPr>
        <w:pStyle w:val="ListParagraph"/>
        <w:numPr>
          <w:ilvl w:val="0"/>
          <w:numId w:val="13"/>
        </w:numPr>
        <w:jc w:val="both"/>
        <w:rPr>
          <w:b/>
          <w:bCs/>
        </w:rPr>
      </w:pPr>
      <w:r>
        <w:rPr>
          <w:b/>
          <w:bCs/>
        </w:rPr>
        <w:t>Price Adjustment Clause</w:t>
      </w:r>
    </w:p>
    <w:p w14:paraId="5BAEAA4B" w14:textId="77777777" w:rsidR="00A632C8" w:rsidRDefault="00A632C8" w:rsidP="00A632C8">
      <w:pPr>
        <w:pStyle w:val="ListParagraph"/>
        <w:ind w:left="360"/>
        <w:jc w:val="both"/>
      </w:pPr>
      <w:r>
        <w:t>The Contract budget for each program year will be adjusted through a written amendment negotiated between ICOA and the Contractor each May and finalized no later than June 30. If USDOL has not communicated final funding amounts to ICOA by May 1 of a given year, ICOA will notify the Contractor in writing and the parties will negotiate an interim operating budget based on the prior year's funding level. A final amendment will be executed within thirty (30) days of ICOA receiving confirmed funding amounts from USDOL. The Contractor acknowledges that federal funding amounts may increase or decrease from year to year and that the Contract does not guarantee any specific funding level beyond the current program year.</w:t>
      </w:r>
    </w:p>
    <w:p w14:paraId="56C7E718" w14:textId="77777777" w:rsidR="00A632C8" w:rsidRDefault="00A632C8" w:rsidP="00A632C8">
      <w:pPr>
        <w:jc w:val="both"/>
      </w:pPr>
    </w:p>
    <w:p w14:paraId="4DF97A7B" w14:textId="77777777" w:rsidR="00A632C8" w:rsidRDefault="00A632C8" w:rsidP="00007DE4">
      <w:pPr>
        <w:pStyle w:val="ListParagraph"/>
        <w:numPr>
          <w:ilvl w:val="0"/>
          <w:numId w:val="13"/>
        </w:numPr>
        <w:jc w:val="both"/>
        <w:rPr>
          <w:b/>
          <w:bCs/>
        </w:rPr>
      </w:pPr>
      <w:r>
        <w:rPr>
          <w:b/>
          <w:bCs/>
        </w:rPr>
        <w:t xml:space="preserve">ADA Accessibility Compliance </w:t>
      </w:r>
    </w:p>
    <w:p w14:paraId="76DC96B3" w14:textId="77777777" w:rsidR="00A632C8" w:rsidRDefault="00A632C8" w:rsidP="00A632C8">
      <w:pPr>
        <w:pStyle w:val="ListParagraph"/>
        <w:ind w:left="360"/>
        <w:jc w:val="both"/>
        <w:rPr>
          <w:b/>
          <w:bCs/>
        </w:rPr>
      </w:pPr>
    </w:p>
    <w:p w14:paraId="078E3EF3" w14:textId="08BE0110" w:rsidR="00A632C8" w:rsidRPr="00FA25EE" w:rsidRDefault="00A632C8" w:rsidP="00007DE4">
      <w:pPr>
        <w:pStyle w:val="ListParagraph"/>
        <w:numPr>
          <w:ilvl w:val="1"/>
          <w:numId w:val="13"/>
        </w:numPr>
        <w:jc w:val="both"/>
      </w:pPr>
      <w:r>
        <w:t>The purposes of this Contract, this Section applies primarily to the accessibility of Participant-facing materials produced by the Contractor, the Contractor's website (if used to support program delivery), and any digital tools developed or procured by the Contractor for program delivery. The Contractor's use of GPMS, IPRO, and other systems administered by USDOL or the State of Idaho is governed by the accessibility standards of those system owners, not this Section. The Contractor must ensure that, at a minimum, all digital products, services, and content provided under this Agreement comply with the Americans with Disabilities Act (ADA), Section 508 of the Rehabilitation Act (as applicable), and the Web Content Accessibility Guidelines (WCAG) version 2.1, Level AA. This requirement applies, but is not limited, to:</w:t>
      </w:r>
    </w:p>
    <w:p w14:paraId="7711B5BC" w14:textId="77777777" w:rsidR="00A632C8" w:rsidRPr="00430AB4" w:rsidRDefault="00A632C8" w:rsidP="00A632C8">
      <w:pPr>
        <w:pStyle w:val="ListParagraph"/>
        <w:ind w:left="936"/>
        <w:jc w:val="both"/>
        <w:rPr>
          <w:b/>
          <w:bCs/>
        </w:rPr>
      </w:pPr>
    </w:p>
    <w:p w14:paraId="7D75D5BE" w14:textId="77777777" w:rsidR="00A632C8" w:rsidRPr="000D09AD" w:rsidRDefault="00A632C8" w:rsidP="00007DE4">
      <w:pPr>
        <w:pStyle w:val="ListParagraph"/>
        <w:numPr>
          <w:ilvl w:val="2"/>
          <w:numId w:val="13"/>
        </w:numPr>
        <w:ind w:left="1800" w:hanging="864"/>
        <w:jc w:val="both"/>
        <w:rPr>
          <w:b/>
          <w:bCs/>
        </w:rPr>
      </w:pPr>
      <w:r>
        <w:t>Websites, web applications, and online systems;</w:t>
      </w:r>
    </w:p>
    <w:p w14:paraId="2C95E252" w14:textId="77777777" w:rsidR="00A632C8" w:rsidRPr="00430AB4" w:rsidRDefault="00A632C8" w:rsidP="00007DE4">
      <w:pPr>
        <w:pStyle w:val="ListParagraph"/>
        <w:numPr>
          <w:ilvl w:val="2"/>
          <w:numId w:val="13"/>
        </w:numPr>
        <w:ind w:left="1800" w:hanging="864"/>
        <w:jc w:val="both"/>
      </w:pPr>
      <w:r>
        <w:t>Software and mobile applications;</w:t>
      </w:r>
    </w:p>
    <w:p w14:paraId="0D1826DA" w14:textId="77777777" w:rsidR="00A632C8" w:rsidRPr="00430AB4" w:rsidRDefault="00A632C8" w:rsidP="00007DE4">
      <w:pPr>
        <w:pStyle w:val="ListParagraph"/>
        <w:numPr>
          <w:ilvl w:val="2"/>
          <w:numId w:val="13"/>
        </w:numPr>
        <w:ind w:left="1800" w:hanging="864"/>
        <w:jc w:val="both"/>
      </w:pPr>
      <w:r>
        <w:t>PDFs, documents, and multimedia content; and</w:t>
      </w:r>
    </w:p>
    <w:p w14:paraId="72974279" w14:textId="0F73803A" w:rsidR="00A632C8" w:rsidRPr="00430AB4" w:rsidRDefault="00A632C8" w:rsidP="00007DE4">
      <w:pPr>
        <w:pStyle w:val="ListParagraph"/>
        <w:numPr>
          <w:ilvl w:val="2"/>
          <w:numId w:val="13"/>
        </w:numPr>
        <w:ind w:left="1800" w:hanging="864"/>
        <w:jc w:val="both"/>
      </w:pPr>
      <w:r>
        <w:t>Any digital tools or services procured by the Contractor in support of this Contract.</w:t>
      </w:r>
    </w:p>
    <w:p w14:paraId="2FDE0E86" w14:textId="77777777" w:rsidR="00A632C8" w:rsidRPr="00430AB4" w:rsidRDefault="00A632C8" w:rsidP="00A632C8">
      <w:pPr>
        <w:pStyle w:val="ListParagraph"/>
        <w:ind w:left="936"/>
        <w:jc w:val="both"/>
        <w:rPr>
          <w:b/>
          <w:bCs/>
        </w:rPr>
      </w:pPr>
    </w:p>
    <w:p w14:paraId="74DFFA2D" w14:textId="77777777" w:rsidR="00A632C8" w:rsidRDefault="00A632C8" w:rsidP="00007DE4">
      <w:pPr>
        <w:pStyle w:val="ListParagraph"/>
        <w:numPr>
          <w:ilvl w:val="1"/>
          <w:numId w:val="13"/>
        </w:numPr>
        <w:ind w:left="936" w:hanging="576"/>
        <w:jc w:val="both"/>
        <w:rPr>
          <w:b/>
          <w:bCs/>
        </w:rPr>
      </w:pPr>
      <w:r>
        <w:rPr>
          <w:b/>
          <w:bCs/>
        </w:rPr>
        <w:t>Accessibility Documentation</w:t>
      </w:r>
    </w:p>
    <w:p w14:paraId="4F8D85D6" w14:textId="77777777" w:rsidR="00A632C8" w:rsidRDefault="00A632C8" w:rsidP="00A632C8">
      <w:pPr>
        <w:pStyle w:val="ListParagraph"/>
        <w:ind w:left="936"/>
        <w:jc w:val="both"/>
      </w:pPr>
      <w:r>
        <w:t>For Consumer Off the Shelf (COTS) products, including Software as a Service (SaaS), prior to an Agreement, Contractor must submit accurate Accessibility Conformance Reports (ACRs) created using the applicable sections of the  Voluntary Product Accessibility Template® (VPAT®) Revised Section 508 Edition (Version 2.3 or higher) or links to ACRs located on Vendor websites for each proposed product or product family (as applicable). Instructions on how to complete this document are included in the template itself.</w:t>
      </w:r>
    </w:p>
    <w:p w14:paraId="03543564" w14:textId="77777777" w:rsidR="00A632C8" w:rsidRDefault="00A632C8" w:rsidP="00A632C8">
      <w:pPr>
        <w:jc w:val="both"/>
      </w:pPr>
    </w:p>
    <w:p w14:paraId="5090FE37" w14:textId="77777777" w:rsidR="00A632C8" w:rsidRPr="00430AB4" w:rsidRDefault="00A632C8" w:rsidP="00007DE4">
      <w:pPr>
        <w:pStyle w:val="ListParagraph"/>
        <w:numPr>
          <w:ilvl w:val="2"/>
          <w:numId w:val="13"/>
        </w:numPr>
        <w:ind w:left="1800" w:hanging="864"/>
        <w:jc w:val="both"/>
      </w:pPr>
      <w:r>
        <w:t>ACR must be based on the current product version.</w:t>
      </w:r>
    </w:p>
    <w:p w14:paraId="6575695C" w14:textId="77777777" w:rsidR="00A632C8" w:rsidRPr="00430AB4" w:rsidRDefault="00A632C8" w:rsidP="00007DE4">
      <w:pPr>
        <w:pStyle w:val="ListParagraph"/>
        <w:numPr>
          <w:ilvl w:val="2"/>
          <w:numId w:val="13"/>
        </w:numPr>
        <w:ind w:left="1800" w:hanging="864"/>
        <w:jc w:val="both"/>
      </w:pPr>
      <w:r>
        <w:t>ACR must be evaluated on current WCAG standards as of the date of this agreement.</w:t>
      </w:r>
    </w:p>
    <w:p w14:paraId="6457D60C" w14:textId="77777777" w:rsidR="00A632C8" w:rsidRDefault="00A632C8" w:rsidP="00007DE4">
      <w:pPr>
        <w:pStyle w:val="ListParagraph"/>
        <w:numPr>
          <w:ilvl w:val="2"/>
          <w:numId w:val="13"/>
        </w:numPr>
        <w:ind w:left="1800" w:hanging="864"/>
        <w:jc w:val="both"/>
      </w:pPr>
      <w:r>
        <w:t>ACRs based on earlier versions of the product must be made available to the state upon request.</w:t>
      </w:r>
    </w:p>
    <w:p w14:paraId="18BB6C38" w14:textId="77777777" w:rsidR="00A632C8" w:rsidRDefault="00A632C8" w:rsidP="00A632C8">
      <w:pPr>
        <w:pStyle w:val="ListParagraph"/>
      </w:pPr>
    </w:p>
    <w:p w14:paraId="69335C5C" w14:textId="1FE916AD" w:rsidR="00A632C8" w:rsidRDefault="00A632C8" w:rsidP="00A632C8">
      <w:pPr>
        <w:pStyle w:val="ListParagraph"/>
        <w:ind w:left="900"/>
        <w:jc w:val="both"/>
      </w:pPr>
      <w:r>
        <w:t xml:space="preserve">For customized COTS products and solutions, Contractor must submit an ACR and complete the Vendor Accessibility Development Services Questionnaire, which documents Vendor's ability to produce accessible electronic and information resources. For non-COTS offerings (such as IT-related development services, services that include user-accessed online components, etc.), Contractor must complete a Vendor Accessibility Development Services Questionnaire, which documents Contractor’s ability to produce accessible electronic and information resources. Failure to provide a current ACR that meets these requirements may result in disqualification of the Offeror proposal, delay in Agreement execution, or cancellation of the Agreement. </w:t>
      </w:r>
    </w:p>
    <w:p w14:paraId="726B2237" w14:textId="77777777" w:rsidR="00A632C8" w:rsidRPr="00430AB4" w:rsidRDefault="00A632C8" w:rsidP="00A632C8">
      <w:pPr>
        <w:jc w:val="both"/>
      </w:pPr>
    </w:p>
    <w:p w14:paraId="130C8E4C" w14:textId="77777777" w:rsidR="00A632C8" w:rsidRDefault="00A632C8" w:rsidP="00007DE4">
      <w:pPr>
        <w:pStyle w:val="ListParagraph"/>
        <w:numPr>
          <w:ilvl w:val="1"/>
          <w:numId w:val="13"/>
        </w:numPr>
        <w:ind w:left="936" w:hanging="576"/>
        <w:jc w:val="both"/>
        <w:rPr>
          <w:b/>
          <w:bCs/>
        </w:rPr>
      </w:pPr>
      <w:r>
        <w:rPr>
          <w:b/>
          <w:bCs/>
        </w:rPr>
        <w:t>Accessibility Testing</w:t>
      </w:r>
    </w:p>
    <w:p w14:paraId="63BBA5E4" w14:textId="77777777" w:rsidR="00A632C8" w:rsidRDefault="00A632C8" w:rsidP="00A632C8">
      <w:pPr>
        <w:pStyle w:val="ListParagraph"/>
        <w:ind w:left="936"/>
        <w:jc w:val="both"/>
      </w:pPr>
      <w:r>
        <w:t>Contractor must perform accessibility testing using both automated tools and manual testing methods, including assistive technologies (e.g., screen readers). Any accessibility barriers identified must be addressed prior to final acceptance.</w:t>
      </w:r>
    </w:p>
    <w:p w14:paraId="30D80315" w14:textId="77777777" w:rsidR="00A632C8" w:rsidRDefault="00A632C8" w:rsidP="00A632C8">
      <w:pPr>
        <w:jc w:val="both"/>
      </w:pPr>
    </w:p>
    <w:p w14:paraId="69FAFBA4" w14:textId="77777777" w:rsidR="00A632C8" w:rsidRPr="005203DC" w:rsidRDefault="00A632C8" w:rsidP="00007DE4">
      <w:pPr>
        <w:pStyle w:val="ListParagraph"/>
        <w:numPr>
          <w:ilvl w:val="1"/>
          <w:numId w:val="13"/>
        </w:numPr>
        <w:ind w:left="936" w:hanging="576"/>
        <w:jc w:val="both"/>
        <w:rPr>
          <w:b/>
          <w:bCs/>
        </w:rPr>
      </w:pPr>
      <w:r>
        <w:rPr>
          <w:b/>
          <w:bCs/>
        </w:rPr>
        <w:t>Remediation Responsibilities</w:t>
      </w:r>
    </w:p>
    <w:p w14:paraId="5C94B990" w14:textId="047155FC" w:rsidR="00A632C8" w:rsidRPr="005203DC" w:rsidRDefault="00A632C8" w:rsidP="00A632C8">
      <w:pPr>
        <w:pStyle w:val="ListParagraph"/>
        <w:ind w:left="936"/>
        <w:jc w:val="both"/>
      </w:pPr>
      <w:r>
        <w:t>If any accessibility violation is known or becomes known to the Contractor during the term of the Agreement, whether by notice from the State of Idaho or through Contractor’s own testing, Contractor must remediate the violation within a time period mutually agreed upon by the parties at no additional cost to the state.</w:t>
      </w:r>
    </w:p>
    <w:p w14:paraId="509FB43C" w14:textId="77777777" w:rsidR="00A632C8" w:rsidRDefault="00A632C8" w:rsidP="00A632C8">
      <w:pPr>
        <w:pStyle w:val="ListParagraph"/>
        <w:ind w:left="936"/>
        <w:jc w:val="both"/>
      </w:pPr>
      <w:r>
        <w:t>If the product or service cannot fully meet accessibility standards at the time of delivery, Contractor must:</w:t>
      </w:r>
    </w:p>
    <w:p w14:paraId="19D2435B" w14:textId="77777777" w:rsidR="00A632C8" w:rsidRPr="005203DC" w:rsidRDefault="00A632C8" w:rsidP="00A632C8">
      <w:pPr>
        <w:pStyle w:val="ListParagraph"/>
        <w:ind w:left="936"/>
        <w:jc w:val="both"/>
      </w:pPr>
    </w:p>
    <w:p w14:paraId="326EC091" w14:textId="77777777" w:rsidR="00A632C8" w:rsidRPr="005203DC" w:rsidRDefault="00A632C8" w:rsidP="00007DE4">
      <w:pPr>
        <w:pStyle w:val="ListParagraph"/>
        <w:numPr>
          <w:ilvl w:val="2"/>
          <w:numId w:val="13"/>
        </w:numPr>
        <w:ind w:left="1800" w:hanging="864"/>
        <w:jc w:val="both"/>
      </w:pPr>
      <w:r>
        <w:t>Provide a detailed remediation plan with timelines;</w:t>
      </w:r>
    </w:p>
    <w:p w14:paraId="5DDE5197" w14:textId="77777777" w:rsidR="00A632C8" w:rsidRPr="005203DC" w:rsidRDefault="00A632C8" w:rsidP="00007DE4">
      <w:pPr>
        <w:pStyle w:val="ListParagraph"/>
        <w:numPr>
          <w:ilvl w:val="2"/>
          <w:numId w:val="13"/>
        </w:numPr>
        <w:ind w:left="1800" w:hanging="864"/>
        <w:jc w:val="both"/>
      </w:pPr>
      <w:r>
        <w:t>Demonstrate reasonable efforts to mitigate impacts on users with disabilities;</w:t>
      </w:r>
    </w:p>
    <w:p w14:paraId="34ED02AB" w14:textId="77777777" w:rsidR="00A632C8" w:rsidRPr="005203DC" w:rsidRDefault="00A632C8" w:rsidP="00007DE4">
      <w:pPr>
        <w:pStyle w:val="ListParagraph"/>
        <w:numPr>
          <w:ilvl w:val="2"/>
          <w:numId w:val="13"/>
        </w:numPr>
        <w:ind w:left="1800" w:hanging="864"/>
        <w:jc w:val="both"/>
      </w:pPr>
      <w:r>
        <w:t>Work in good faith with the purchasing agency to bring the product into compliance;</w:t>
      </w:r>
    </w:p>
    <w:p w14:paraId="038C3AC8" w14:textId="77777777" w:rsidR="00A632C8" w:rsidRPr="005203DC" w:rsidRDefault="00A632C8" w:rsidP="00007DE4">
      <w:pPr>
        <w:pStyle w:val="ListParagraph"/>
        <w:numPr>
          <w:ilvl w:val="2"/>
          <w:numId w:val="13"/>
        </w:numPr>
        <w:ind w:left="1800" w:hanging="864"/>
        <w:jc w:val="both"/>
      </w:pPr>
      <w:r>
        <w:t>Provide alternative solutions upon request at no additional charge to the state; and</w:t>
      </w:r>
    </w:p>
    <w:p w14:paraId="35B7CA45" w14:textId="77777777" w:rsidR="00A632C8" w:rsidRDefault="00A632C8" w:rsidP="00007DE4">
      <w:pPr>
        <w:pStyle w:val="ListParagraph"/>
        <w:numPr>
          <w:ilvl w:val="2"/>
          <w:numId w:val="13"/>
        </w:numPr>
        <w:ind w:left="1800" w:hanging="864"/>
        <w:jc w:val="both"/>
      </w:pPr>
      <w:r>
        <w:t>Document any undue burden or exemption with a sign-off by the Office of Information Technology ADA Manager.</w:t>
      </w:r>
    </w:p>
    <w:p w14:paraId="66D79B12" w14:textId="77777777" w:rsidR="00A632C8" w:rsidRPr="005203DC" w:rsidRDefault="00A632C8" w:rsidP="00A632C8">
      <w:pPr>
        <w:jc w:val="both"/>
      </w:pPr>
    </w:p>
    <w:p w14:paraId="7864F1DA" w14:textId="77777777" w:rsidR="00A632C8" w:rsidRPr="005203DC" w:rsidRDefault="00A632C8" w:rsidP="00007DE4">
      <w:pPr>
        <w:pStyle w:val="ListParagraph"/>
        <w:numPr>
          <w:ilvl w:val="1"/>
          <w:numId w:val="13"/>
        </w:numPr>
        <w:ind w:left="936" w:hanging="576"/>
        <w:jc w:val="both"/>
        <w:rPr>
          <w:b/>
          <w:bCs/>
        </w:rPr>
      </w:pPr>
      <w:r>
        <w:rPr>
          <w:b/>
          <w:bCs/>
        </w:rPr>
        <w:t>Ongoing Accessibility Obligations</w:t>
      </w:r>
    </w:p>
    <w:p w14:paraId="539F431D" w14:textId="77777777" w:rsidR="00A632C8" w:rsidRPr="005203DC" w:rsidRDefault="00A632C8" w:rsidP="00A632C8">
      <w:pPr>
        <w:pStyle w:val="ListParagraph"/>
        <w:ind w:left="936"/>
        <w:jc w:val="both"/>
      </w:pPr>
      <w:r>
        <w:t>For any updates, patches, or content changes made during the Agreement term, Contractor must maintain accessibility compliance. The State reserves the right to request updated accessibility conformance documentation at any time.</w:t>
      </w:r>
    </w:p>
    <w:p w14:paraId="1FDE8063" w14:textId="77777777" w:rsidR="00A632C8" w:rsidRDefault="00A632C8" w:rsidP="00A632C8">
      <w:pPr>
        <w:pStyle w:val="ListParagraph"/>
        <w:ind w:left="936"/>
        <w:jc w:val="both"/>
      </w:pPr>
      <w:r>
        <w:t xml:space="preserve">When updates or upgrades are made to the products or services available through this Agreement, Contractor agrees to document how the changes will impact or improve accessibility and usability. This documentation must be provided to the State in advance of the change, occurring within an agreed-upon timeframe sufficient for the State to review the changes and either approve or request a remediation plan from the Contractor. If agreed-upon updates fail to improve accessibility or usability as planned, failure to comply with this requirement may be cause for Agreement cancellation or default. </w:t>
      </w:r>
    </w:p>
    <w:p w14:paraId="35F00911" w14:textId="77777777" w:rsidR="00A632C8" w:rsidRPr="005203DC" w:rsidRDefault="00A632C8" w:rsidP="00A632C8">
      <w:pPr>
        <w:pStyle w:val="ListParagraph"/>
        <w:ind w:left="936"/>
        <w:jc w:val="both"/>
      </w:pPr>
    </w:p>
    <w:p w14:paraId="5498A65E" w14:textId="77777777" w:rsidR="00A632C8" w:rsidRDefault="00A632C8" w:rsidP="00007DE4">
      <w:pPr>
        <w:pStyle w:val="ListParagraph"/>
        <w:numPr>
          <w:ilvl w:val="1"/>
          <w:numId w:val="13"/>
        </w:numPr>
        <w:ind w:left="936" w:hanging="576"/>
        <w:jc w:val="both"/>
        <w:rPr>
          <w:b/>
          <w:bCs/>
        </w:rPr>
      </w:pPr>
      <w:r>
        <w:rPr>
          <w:b/>
          <w:bCs/>
        </w:rPr>
        <w:t>Training and Support</w:t>
      </w:r>
    </w:p>
    <w:p w14:paraId="7F335224" w14:textId="52F41916" w:rsidR="00A632C8" w:rsidRPr="005203DC" w:rsidRDefault="00A632C8" w:rsidP="00A632C8">
      <w:pPr>
        <w:pStyle w:val="ListParagraph"/>
        <w:ind w:left="936"/>
        <w:jc w:val="both"/>
      </w:pPr>
      <w:r>
        <w:t>Unless agreed to otherwise in Contractor’s Terms and Conditions, Contractor must provide training or guidance to agency staff on how to use the product or platform in an accessible manner and how to maintain accessibility in ongoing content or service delivery. In facilitating Contractor trainings, Contractor must coordinate and cooperate with State in identifying prospective attendees who may require accommodations and provide such accommodations.</w:t>
      </w:r>
    </w:p>
    <w:p w14:paraId="6EE321CA" w14:textId="77777777" w:rsidR="00A632C8" w:rsidRDefault="00A632C8" w:rsidP="00A632C8">
      <w:pPr>
        <w:pStyle w:val="ListParagraph"/>
        <w:ind w:left="936"/>
        <w:jc w:val="both"/>
      </w:pPr>
      <w:r>
        <w:t xml:space="preserve">All administrator and end user documentation and training materials delivered by the Vendor must be in compliance with the WCAG 2.1, level AA. </w:t>
      </w:r>
    </w:p>
    <w:p w14:paraId="1A94462F" w14:textId="77777777" w:rsidR="00A632C8" w:rsidRPr="005203DC" w:rsidRDefault="00A632C8" w:rsidP="00A632C8">
      <w:pPr>
        <w:jc w:val="both"/>
      </w:pPr>
    </w:p>
    <w:p w14:paraId="45554008" w14:textId="179D56B2" w:rsidR="00A632C8" w:rsidRDefault="00FA25EE" w:rsidP="00007DE4">
      <w:pPr>
        <w:pStyle w:val="ListParagraph"/>
        <w:numPr>
          <w:ilvl w:val="1"/>
          <w:numId w:val="13"/>
        </w:numPr>
        <w:ind w:left="936" w:hanging="576"/>
        <w:jc w:val="both"/>
        <w:rPr>
          <w:b/>
          <w:bCs/>
        </w:rPr>
      </w:pPr>
      <w:r>
        <w:rPr>
          <w:b/>
          <w:bCs/>
        </w:rPr>
        <w:t>State Remedies for Non-Compliance</w:t>
      </w:r>
    </w:p>
    <w:p w14:paraId="72864D44" w14:textId="77777777" w:rsidR="00A632C8" w:rsidRDefault="00A632C8" w:rsidP="00A632C8">
      <w:pPr>
        <w:pStyle w:val="ListParagraph"/>
        <w:ind w:left="936"/>
        <w:jc w:val="both"/>
      </w:pPr>
      <w:r>
        <w:t xml:space="preserve">Failure to meet WCAG 2.1 Level AA may result in any remedies available under Idaho procurement law, including but not limited to: </w:t>
      </w:r>
    </w:p>
    <w:p w14:paraId="254F2C28" w14:textId="77777777" w:rsidR="00A632C8" w:rsidRPr="005203DC" w:rsidRDefault="00A632C8" w:rsidP="00A632C8">
      <w:pPr>
        <w:pStyle w:val="ListParagraph"/>
        <w:ind w:left="936"/>
        <w:jc w:val="both"/>
      </w:pPr>
    </w:p>
    <w:p w14:paraId="695DB725" w14:textId="77777777" w:rsidR="00A632C8" w:rsidRPr="005203DC" w:rsidRDefault="00A632C8" w:rsidP="00007DE4">
      <w:pPr>
        <w:pStyle w:val="ListParagraph"/>
        <w:numPr>
          <w:ilvl w:val="2"/>
          <w:numId w:val="13"/>
        </w:numPr>
        <w:ind w:left="1800" w:hanging="864"/>
        <w:jc w:val="both"/>
      </w:pPr>
      <w:r>
        <w:t>Require the Contractor to cure deficiencies;</w:t>
      </w:r>
    </w:p>
    <w:p w14:paraId="4B48049F" w14:textId="77777777" w:rsidR="00A632C8" w:rsidRPr="005203DC" w:rsidRDefault="00A632C8" w:rsidP="00007DE4">
      <w:pPr>
        <w:pStyle w:val="ListParagraph"/>
        <w:numPr>
          <w:ilvl w:val="2"/>
          <w:numId w:val="13"/>
        </w:numPr>
        <w:ind w:left="1800" w:hanging="864"/>
        <w:jc w:val="both"/>
      </w:pPr>
      <w:r>
        <w:t>State</w:t>
      </w:r>
      <w:r>
        <w:noBreakHyphen/>
        <w:t>performed testing or remediation at no cost to the State;</w:t>
      </w:r>
    </w:p>
    <w:p w14:paraId="24E61D1B" w14:textId="77777777" w:rsidR="00A632C8" w:rsidRPr="005203DC" w:rsidRDefault="00A632C8" w:rsidP="00007DE4">
      <w:pPr>
        <w:pStyle w:val="ListParagraph"/>
        <w:numPr>
          <w:ilvl w:val="2"/>
          <w:numId w:val="13"/>
        </w:numPr>
        <w:ind w:left="1800" w:hanging="864"/>
        <w:jc w:val="both"/>
      </w:pPr>
      <w:r>
        <w:t>Withholding payment; or</w:t>
      </w:r>
    </w:p>
    <w:p w14:paraId="2AF76A61" w14:textId="77777777" w:rsidR="00A632C8" w:rsidRDefault="00A632C8" w:rsidP="00007DE4">
      <w:pPr>
        <w:pStyle w:val="ListParagraph"/>
        <w:numPr>
          <w:ilvl w:val="2"/>
          <w:numId w:val="13"/>
        </w:numPr>
        <w:ind w:left="1800" w:hanging="864"/>
        <w:jc w:val="both"/>
      </w:pPr>
      <w:r>
        <w:t>Termination of the Contract.</w:t>
      </w:r>
    </w:p>
    <w:p w14:paraId="03A06174" w14:textId="77777777" w:rsidR="00DB7352" w:rsidRDefault="00DB7352">
      <w:pPr>
        <w:rPr>
          <w:spacing w:val="20"/>
          <w:sz w:val="48"/>
          <w:szCs w:val="48"/>
        </w:rPr>
      </w:pPr>
      <w:r>
        <w:rPr>
          <w:spacing w:val="20"/>
          <w:sz w:val="48"/>
          <w:szCs w:val="48"/>
        </w:rPr>
        <w:br w:type="page"/>
      </w:r>
    </w:p>
    <w:p w14:paraId="7CF76770" w14:textId="36E82A02" w:rsidR="00A632C8" w:rsidRPr="00B84CEF" w:rsidRDefault="00A632C8" w:rsidP="00FA25EE">
      <w:pPr>
        <w:jc w:val="center"/>
        <w:rPr>
          <w:spacing w:val="20"/>
          <w:sz w:val="48"/>
          <w:szCs w:val="48"/>
        </w:rPr>
      </w:pPr>
      <w:r>
        <w:rPr>
          <w:spacing w:val="20"/>
          <w:sz w:val="48"/>
          <w:szCs w:val="48"/>
        </w:rPr>
        <w:lastRenderedPageBreak/>
        <w:t>EXHIBIT 4</w:t>
      </w:r>
    </w:p>
    <w:p w14:paraId="3A483949" w14:textId="77777777" w:rsidR="00A632C8" w:rsidRPr="00B84CEF" w:rsidRDefault="00A632C8" w:rsidP="00A632C8">
      <w:pPr>
        <w:shd w:val="clear" w:color="auto" w:fill="F2F2F2" w:themeFill="background1" w:themeFillShade="F2"/>
        <w:jc w:val="center"/>
        <w:rPr>
          <w:b/>
          <w:bCs/>
          <w:spacing w:val="20"/>
          <w:sz w:val="36"/>
          <w:szCs w:val="36"/>
        </w:rPr>
      </w:pPr>
      <w:r>
        <w:rPr>
          <w:b/>
          <w:bCs/>
          <w:spacing w:val="20"/>
          <w:sz w:val="36"/>
          <w:szCs w:val="36"/>
        </w:rPr>
        <w:t xml:space="preserve">Scope of Work </w:t>
      </w:r>
    </w:p>
    <w:p w14:paraId="7FCA7A43" w14:textId="77777777" w:rsidR="00A632C8" w:rsidRDefault="00A632C8" w:rsidP="00A632C8"/>
    <w:p w14:paraId="15C146E4" w14:textId="77777777" w:rsidR="00A632C8" w:rsidRDefault="00A632C8" w:rsidP="00007DE4">
      <w:pPr>
        <w:pStyle w:val="ListParagraph"/>
        <w:numPr>
          <w:ilvl w:val="0"/>
          <w:numId w:val="21"/>
        </w:numPr>
        <w:jc w:val="both"/>
        <w:rPr>
          <w:b/>
          <w:bCs/>
        </w:rPr>
      </w:pPr>
      <w:r>
        <w:rPr>
          <w:b/>
          <w:bCs/>
        </w:rPr>
        <w:t>Transition and Operational Readiness</w:t>
      </w:r>
    </w:p>
    <w:p w14:paraId="32C957B2" w14:textId="77777777" w:rsidR="00A632C8" w:rsidRDefault="00A632C8" w:rsidP="00A632C8">
      <w:pPr>
        <w:pStyle w:val="ListParagraph"/>
        <w:ind w:left="360"/>
        <w:jc w:val="both"/>
        <w:rPr>
          <w:b/>
          <w:bCs/>
        </w:rPr>
      </w:pPr>
    </w:p>
    <w:p w14:paraId="71360A59" w14:textId="77777777" w:rsidR="00A632C8" w:rsidRDefault="00A632C8" w:rsidP="00007DE4">
      <w:pPr>
        <w:pStyle w:val="ListParagraph"/>
        <w:numPr>
          <w:ilvl w:val="1"/>
          <w:numId w:val="21"/>
        </w:numPr>
        <w:jc w:val="both"/>
        <w:rPr>
          <w:b/>
          <w:bCs/>
        </w:rPr>
      </w:pPr>
      <w:r>
        <w:rPr>
          <w:b/>
          <w:bCs/>
        </w:rPr>
        <w:t>Operational Start Deadline</w:t>
      </w:r>
    </w:p>
    <w:p w14:paraId="4137EB7F" w14:textId="0D931DF4" w:rsidR="00A632C8" w:rsidRDefault="00A632C8" w:rsidP="00A632C8">
      <w:pPr>
        <w:pStyle w:val="ListParagraph"/>
        <w:ind w:left="792"/>
        <w:jc w:val="both"/>
      </w:pPr>
      <w:r>
        <w:t>The Contractor must be fully operational no later than October 1, 2026. This date serves as the absolute deadline for operational readiness regardless of contract execution date. If the Contract is executed thirty (30) calendar days or more before October 1, 2026, the Contractor must achieve full operational readiness by October 1, 2026. If the Contract is executed fewer than thirty (30) calendar days before October 1, 2026, the Contractor must achieve full operational readiness by October 1, 2026, unless ICOA agrees in writing to a later operational start date. ICOA will make reasonable efforts to execute the Contract no later than August 1, 2026, in order to allow sufficient transition time.</w:t>
      </w:r>
    </w:p>
    <w:p w14:paraId="19524806" w14:textId="77777777" w:rsidR="00A632C8" w:rsidRPr="006F0D6E" w:rsidRDefault="00A632C8" w:rsidP="00A632C8">
      <w:pPr>
        <w:pStyle w:val="ListParagraph"/>
        <w:ind w:left="792"/>
        <w:jc w:val="both"/>
        <w:rPr>
          <w:b/>
          <w:bCs/>
        </w:rPr>
      </w:pPr>
    </w:p>
    <w:p w14:paraId="04A1BC57" w14:textId="77777777" w:rsidR="00A632C8" w:rsidRDefault="00A632C8" w:rsidP="00007DE4">
      <w:pPr>
        <w:pStyle w:val="ListParagraph"/>
        <w:numPr>
          <w:ilvl w:val="1"/>
          <w:numId w:val="21"/>
        </w:numPr>
        <w:jc w:val="both"/>
        <w:rPr>
          <w:b/>
          <w:bCs/>
        </w:rPr>
      </w:pPr>
      <w:r>
        <w:rPr>
          <w:b/>
          <w:bCs/>
        </w:rPr>
        <w:t>Definition of Full Operational Readiness</w:t>
      </w:r>
    </w:p>
    <w:p w14:paraId="4BC304E3" w14:textId="77777777" w:rsidR="00A632C8" w:rsidRPr="006F0D6E" w:rsidRDefault="00A632C8" w:rsidP="00A632C8">
      <w:pPr>
        <w:pStyle w:val="ListParagraph"/>
        <w:ind w:left="792"/>
        <w:jc w:val="both"/>
      </w:pPr>
      <w:r>
        <w:t>For purposes of this Contract, "fully operational" means the Contractor has completed all of the following prior to the operational start date:</w:t>
      </w:r>
    </w:p>
    <w:p w14:paraId="139F438C" w14:textId="77777777" w:rsidR="00A632C8" w:rsidRDefault="00A632C8" w:rsidP="00A632C8">
      <w:pPr>
        <w:pStyle w:val="ListParagraph"/>
        <w:ind w:left="360"/>
        <w:jc w:val="both"/>
      </w:pPr>
    </w:p>
    <w:p w14:paraId="5FEF057C" w14:textId="77777777" w:rsidR="00A632C8" w:rsidRDefault="00A632C8" w:rsidP="00007DE4">
      <w:pPr>
        <w:pStyle w:val="ListParagraph"/>
        <w:numPr>
          <w:ilvl w:val="2"/>
          <w:numId w:val="21"/>
        </w:numPr>
        <w:ind w:left="1350" w:hanging="630"/>
        <w:jc w:val="both"/>
      </w:pPr>
      <w:r>
        <w:t>Hired and trained all required program staff;</w:t>
      </w:r>
    </w:p>
    <w:p w14:paraId="14CCA9E6" w14:textId="77777777" w:rsidR="00063739" w:rsidRPr="006F0D6E" w:rsidRDefault="00063739" w:rsidP="00063739">
      <w:pPr>
        <w:pStyle w:val="ListParagraph"/>
        <w:ind w:left="1350"/>
        <w:jc w:val="both"/>
      </w:pPr>
    </w:p>
    <w:p w14:paraId="6FB245A7" w14:textId="75C6A632" w:rsidR="00A632C8" w:rsidRDefault="00A632C8" w:rsidP="00007DE4">
      <w:pPr>
        <w:pStyle w:val="ListParagraph"/>
        <w:numPr>
          <w:ilvl w:val="2"/>
          <w:numId w:val="21"/>
        </w:numPr>
        <w:ind w:left="1350" w:hanging="630"/>
        <w:jc w:val="both"/>
      </w:pPr>
      <w:r>
        <w:t>Established or assumed all Host Agency agreements for all currently enrolled Participants;</w:t>
      </w:r>
    </w:p>
    <w:p w14:paraId="02B195EF" w14:textId="77777777" w:rsidR="00063739" w:rsidRPr="006F0D6E" w:rsidRDefault="00063739" w:rsidP="00063739">
      <w:pPr>
        <w:pStyle w:val="ListParagraph"/>
        <w:ind w:left="1350"/>
        <w:jc w:val="both"/>
      </w:pPr>
    </w:p>
    <w:p w14:paraId="25270F2E" w14:textId="77777777" w:rsidR="00A632C8" w:rsidRDefault="00A632C8" w:rsidP="00007DE4">
      <w:pPr>
        <w:pStyle w:val="ListParagraph"/>
        <w:numPr>
          <w:ilvl w:val="2"/>
          <w:numId w:val="21"/>
        </w:numPr>
        <w:ind w:left="1350" w:hanging="630"/>
        <w:jc w:val="both"/>
      </w:pPr>
      <w:r>
        <w:t>Obtained GPMS system access and completed all required USDOL system training;</w:t>
      </w:r>
    </w:p>
    <w:p w14:paraId="100A8BD1" w14:textId="77777777" w:rsidR="00063739" w:rsidRPr="00046960" w:rsidRDefault="00063739" w:rsidP="00063739">
      <w:pPr>
        <w:pStyle w:val="ListParagraph"/>
        <w:ind w:left="1350"/>
        <w:jc w:val="both"/>
      </w:pPr>
    </w:p>
    <w:p w14:paraId="667E26C2" w14:textId="50FFACA1" w:rsidR="00A632C8" w:rsidRDefault="00A632C8" w:rsidP="00007DE4">
      <w:pPr>
        <w:pStyle w:val="ListParagraph"/>
        <w:numPr>
          <w:ilvl w:val="2"/>
          <w:numId w:val="21"/>
        </w:numPr>
        <w:ind w:left="1350" w:hanging="630"/>
        <w:jc w:val="both"/>
      </w:pPr>
      <w:r>
        <w:t xml:space="preserve">Received, reviewed, and documented the condition of all Participant records transferred from the current program operator; </w:t>
      </w:r>
    </w:p>
    <w:p w14:paraId="1B7B9589" w14:textId="77777777" w:rsidR="00063739" w:rsidRPr="009A7AF3" w:rsidRDefault="00063739" w:rsidP="00063739">
      <w:pPr>
        <w:pStyle w:val="ListParagraph"/>
        <w:ind w:left="1350"/>
        <w:jc w:val="both"/>
      </w:pPr>
    </w:p>
    <w:p w14:paraId="10A1D285" w14:textId="25526FB0" w:rsidR="00A632C8" w:rsidRDefault="00A632C8" w:rsidP="00007DE4">
      <w:pPr>
        <w:pStyle w:val="ListParagraph"/>
        <w:numPr>
          <w:ilvl w:val="2"/>
          <w:numId w:val="21"/>
        </w:numPr>
        <w:ind w:left="1350" w:hanging="630"/>
        <w:jc w:val="both"/>
      </w:pPr>
      <w:r>
        <w:t>Established payroll systems and processes sufficient to ensure uninterrupted, timely payment of Participant wages from the first day of operation; and</w:t>
      </w:r>
    </w:p>
    <w:p w14:paraId="65717AD4" w14:textId="77777777" w:rsidR="00063739" w:rsidRPr="006F0D6E" w:rsidRDefault="00063739" w:rsidP="00063739">
      <w:pPr>
        <w:pStyle w:val="ListParagraph"/>
        <w:ind w:left="1350"/>
        <w:jc w:val="both"/>
      </w:pPr>
    </w:p>
    <w:p w14:paraId="5CCD88B2" w14:textId="77777777" w:rsidR="00063739" w:rsidRDefault="00A632C8" w:rsidP="00007DE4">
      <w:pPr>
        <w:pStyle w:val="ListParagraph"/>
        <w:numPr>
          <w:ilvl w:val="2"/>
          <w:numId w:val="21"/>
        </w:numPr>
        <w:ind w:left="1350" w:hanging="630"/>
        <w:jc w:val="both"/>
      </w:pPr>
      <w:r>
        <w:t>Prepared Participant outreach and recruitment materials.</w:t>
      </w:r>
    </w:p>
    <w:p w14:paraId="5401F88B" w14:textId="77777777" w:rsidR="00063739" w:rsidRDefault="00063739" w:rsidP="00063739">
      <w:pPr>
        <w:pStyle w:val="ListParagraph"/>
      </w:pPr>
    </w:p>
    <w:p w14:paraId="08F158AE" w14:textId="54A5196F" w:rsidR="00A632C8" w:rsidRDefault="00A632C8" w:rsidP="00007DE4">
      <w:pPr>
        <w:pStyle w:val="ListParagraph"/>
        <w:numPr>
          <w:ilvl w:val="2"/>
          <w:numId w:val="21"/>
        </w:numPr>
        <w:ind w:left="1350" w:hanging="630"/>
        <w:jc w:val="both"/>
      </w:pPr>
      <w:r>
        <w:t>The requirements governing GPMS access and Participant records transfer are detailed in Sections 1.4 and 1.5 respectively.</w:t>
      </w:r>
    </w:p>
    <w:p w14:paraId="2DE3BE04" w14:textId="77777777" w:rsidR="00A632C8" w:rsidRDefault="00A632C8" w:rsidP="00A632C8">
      <w:pPr>
        <w:pStyle w:val="ListParagraph"/>
        <w:ind w:left="792"/>
        <w:jc w:val="both"/>
      </w:pPr>
    </w:p>
    <w:p w14:paraId="14FD58C7" w14:textId="77777777" w:rsidR="00A632C8" w:rsidRDefault="00A632C8" w:rsidP="00007DE4">
      <w:pPr>
        <w:pStyle w:val="ListParagraph"/>
        <w:numPr>
          <w:ilvl w:val="1"/>
          <w:numId w:val="21"/>
        </w:numPr>
        <w:jc w:val="both"/>
        <w:rPr>
          <w:b/>
          <w:bCs/>
        </w:rPr>
      </w:pPr>
      <w:r>
        <w:rPr>
          <w:b/>
          <w:bCs/>
        </w:rPr>
        <w:t>Implementation Timeline</w:t>
      </w:r>
    </w:p>
    <w:p w14:paraId="56437C0B" w14:textId="77777777" w:rsidR="00A632C8" w:rsidRDefault="00A632C8" w:rsidP="00A632C8">
      <w:pPr>
        <w:pStyle w:val="ListParagraph"/>
        <w:ind w:left="792"/>
        <w:jc w:val="both"/>
        <w:rPr>
          <w:b/>
          <w:bCs/>
        </w:rPr>
      </w:pPr>
    </w:p>
    <w:p w14:paraId="75FAA336" w14:textId="77777777" w:rsidR="00A632C8" w:rsidRDefault="00A632C8" w:rsidP="00007DE4">
      <w:pPr>
        <w:pStyle w:val="ListParagraph"/>
        <w:numPr>
          <w:ilvl w:val="2"/>
          <w:numId w:val="21"/>
        </w:numPr>
        <w:ind w:left="1350" w:hanging="630"/>
        <w:jc w:val="both"/>
      </w:pPr>
      <w:r>
        <w:t>The Contractor must submit a preliminary implementation timeline as part of its Technical Proposal demonstrating how it will achieve full operational readiness by the deadline established in Section 1.1. The timeline must identify milestones for each element listed in Section 1.2, including key staffing, systems, and transition activities, with target completion dates.</w:t>
      </w:r>
    </w:p>
    <w:p w14:paraId="2B543A11" w14:textId="77777777" w:rsidR="00A632C8" w:rsidRDefault="00A632C8" w:rsidP="00A632C8">
      <w:pPr>
        <w:pStyle w:val="ListParagraph"/>
        <w:ind w:left="1350"/>
        <w:jc w:val="both"/>
      </w:pPr>
    </w:p>
    <w:p w14:paraId="594463EF" w14:textId="77777777" w:rsidR="00A632C8" w:rsidRPr="00667F6C" w:rsidRDefault="00A632C8" w:rsidP="00007DE4">
      <w:pPr>
        <w:pStyle w:val="ListParagraph"/>
        <w:numPr>
          <w:ilvl w:val="2"/>
          <w:numId w:val="21"/>
        </w:numPr>
        <w:ind w:left="1350" w:hanging="630"/>
        <w:jc w:val="both"/>
      </w:pPr>
      <w:r>
        <w:t>A formal, binding project timeline will be finalized collaboratively with ICOA during pre-award contract discussions. The Contractor is responsible for managing its own transition activities in accordance with this timeline and must notify ICOA in writing within two (2) business days if any milestone is at risk of being missed.</w:t>
      </w:r>
    </w:p>
    <w:p w14:paraId="2FBAA5C9" w14:textId="77777777" w:rsidR="00A632C8" w:rsidRPr="00667F6C" w:rsidRDefault="00A632C8" w:rsidP="00A632C8">
      <w:pPr>
        <w:pStyle w:val="ListParagraph"/>
        <w:ind w:left="792"/>
        <w:jc w:val="both"/>
        <w:rPr>
          <w:b/>
          <w:bCs/>
        </w:rPr>
      </w:pPr>
    </w:p>
    <w:p w14:paraId="2676E152" w14:textId="77777777" w:rsidR="00A632C8" w:rsidRPr="00667F6C" w:rsidRDefault="00A632C8" w:rsidP="00007DE4">
      <w:pPr>
        <w:pStyle w:val="ListParagraph"/>
        <w:numPr>
          <w:ilvl w:val="1"/>
          <w:numId w:val="21"/>
        </w:numPr>
        <w:jc w:val="both"/>
        <w:rPr>
          <w:b/>
          <w:bCs/>
        </w:rPr>
      </w:pPr>
      <w:r>
        <w:rPr>
          <w:b/>
          <w:bCs/>
        </w:rPr>
        <w:t>GPMS System Access</w:t>
      </w:r>
    </w:p>
    <w:p w14:paraId="39AEBD56" w14:textId="77777777" w:rsidR="00A632C8" w:rsidRPr="00667F6C" w:rsidRDefault="00A632C8" w:rsidP="00A632C8">
      <w:pPr>
        <w:pStyle w:val="ListParagraph"/>
        <w:ind w:left="792"/>
        <w:jc w:val="both"/>
        <w:rPr>
          <w:b/>
          <w:bCs/>
        </w:rPr>
      </w:pPr>
      <w:r>
        <w:t xml:space="preserve">ICOA will initiate the GPMS access request with USDOL on behalf of the Contractor within five (5) business days of contract execution. The Contractor is responsible for promptly completing all USDOL registration requirements, responding to any USDOL onboarding steps without delay, and completing required system training prior to the </w:t>
      </w:r>
      <w:r>
        <w:lastRenderedPageBreak/>
        <w:t>operational start date. ICOA will provide technical assistance and serve as the escalation point with USDOL if access issues arise during the transition period. Delays caused by the Contractor's failure to complete registration requirements in a timely manner do not extend the operational readiness deadline established in Section 1.1.</w:t>
      </w:r>
    </w:p>
    <w:p w14:paraId="7FA26F12" w14:textId="77777777" w:rsidR="00A632C8" w:rsidRPr="00667F6C" w:rsidRDefault="00A632C8" w:rsidP="00A632C8">
      <w:pPr>
        <w:pStyle w:val="ListParagraph"/>
        <w:ind w:left="792"/>
        <w:jc w:val="both"/>
        <w:rPr>
          <w:b/>
          <w:bCs/>
        </w:rPr>
      </w:pPr>
    </w:p>
    <w:p w14:paraId="158BF5C9" w14:textId="15CB56EB" w:rsidR="00A632C8" w:rsidRPr="00667F6C" w:rsidRDefault="00D843DD" w:rsidP="00007DE4">
      <w:pPr>
        <w:pStyle w:val="ListParagraph"/>
        <w:numPr>
          <w:ilvl w:val="1"/>
          <w:numId w:val="21"/>
        </w:numPr>
        <w:jc w:val="both"/>
        <w:rPr>
          <w:b/>
          <w:bCs/>
        </w:rPr>
      </w:pPr>
      <w:r>
        <w:rPr>
          <w:b/>
          <w:bCs/>
        </w:rPr>
        <w:t>Participant Records Transfer</w:t>
      </w:r>
    </w:p>
    <w:p w14:paraId="3560D764" w14:textId="77777777" w:rsidR="00A632C8" w:rsidRDefault="00A632C8" w:rsidP="00A632C8">
      <w:pPr>
        <w:pStyle w:val="ListParagraph"/>
        <w:ind w:left="792"/>
        <w:jc w:val="both"/>
      </w:pPr>
      <w:r>
        <w:t>ICOA will support the Contractor's transition by:</w:t>
      </w:r>
    </w:p>
    <w:p w14:paraId="5F33FA15" w14:textId="77777777" w:rsidR="00A632C8" w:rsidRPr="00667F6C" w:rsidRDefault="00A632C8" w:rsidP="00A632C8">
      <w:pPr>
        <w:jc w:val="both"/>
      </w:pPr>
    </w:p>
    <w:p w14:paraId="680DE0E7" w14:textId="77777777" w:rsidR="00A632C8" w:rsidRDefault="00A632C8" w:rsidP="00007DE4">
      <w:pPr>
        <w:pStyle w:val="ListParagraph"/>
        <w:numPr>
          <w:ilvl w:val="2"/>
          <w:numId w:val="21"/>
        </w:numPr>
        <w:ind w:left="1350" w:hanging="630"/>
        <w:jc w:val="both"/>
      </w:pPr>
      <w:r>
        <w:t>Providing written introductions to the current program operator within five (5) business days of contract execution;</w:t>
      </w:r>
    </w:p>
    <w:p w14:paraId="6098369A" w14:textId="77777777" w:rsidR="000C799E" w:rsidRPr="00667F6C" w:rsidRDefault="000C799E" w:rsidP="000C799E">
      <w:pPr>
        <w:pStyle w:val="ListParagraph"/>
        <w:ind w:left="1350"/>
        <w:jc w:val="both"/>
      </w:pPr>
    </w:p>
    <w:p w14:paraId="7779DF9F" w14:textId="77777777" w:rsidR="00A632C8" w:rsidRDefault="00A632C8" w:rsidP="00007DE4">
      <w:pPr>
        <w:pStyle w:val="ListParagraph"/>
        <w:numPr>
          <w:ilvl w:val="2"/>
          <w:numId w:val="21"/>
        </w:numPr>
        <w:ind w:left="1350" w:hanging="630"/>
        <w:jc w:val="both"/>
      </w:pPr>
      <w:r>
        <w:t>Facilitating access to all program records held by the current operator within fifteen (15) business days of contract execution; and</w:t>
      </w:r>
    </w:p>
    <w:p w14:paraId="5189645E" w14:textId="77777777" w:rsidR="000C799E" w:rsidRPr="00667F6C" w:rsidRDefault="000C799E" w:rsidP="000C799E">
      <w:pPr>
        <w:pStyle w:val="ListParagraph"/>
        <w:ind w:left="1350"/>
        <w:jc w:val="both"/>
      </w:pPr>
    </w:p>
    <w:p w14:paraId="1984D192" w14:textId="77777777" w:rsidR="00A632C8" w:rsidRDefault="00A632C8" w:rsidP="00007DE4">
      <w:pPr>
        <w:pStyle w:val="ListParagraph"/>
        <w:numPr>
          <w:ilvl w:val="2"/>
          <w:numId w:val="21"/>
        </w:numPr>
        <w:ind w:left="1350" w:hanging="630"/>
        <w:jc w:val="both"/>
      </w:pPr>
      <w:r>
        <w:t>Serving as the escalation point if the current program operator fails to cooperate with the records transfer process in a timely manner.</w:t>
      </w:r>
    </w:p>
    <w:p w14:paraId="032BF275" w14:textId="77777777" w:rsidR="000C799E" w:rsidRDefault="000C799E" w:rsidP="000C799E">
      <w:pPr>
        <w:pStyle w:val="ListParagraph"/>
        <w:ind w:left="1350"/>
        <w:jc w:val="both"/>
      </w:pPr>
    </w:p>
    <w:p w14:paraId="17689CCB" w14:textId="00F0F66B" w:rsidR="00A632C8" w:rsidRPr="00667F6C" w:rsidRDefault="00A632C8" w:rsidP="00007DE4">
      <w:pPr>
        <w:pStyle w:val="ListParagraph"/>
        <w:numPr>
          <w:ilvl w:val="2"/>
          <w:numId w:val="21"/>
        </w:numPr>
        <w:ind w:left="1350" w:hanging="630"/>
        <w:jc w:val="both"/>
      </w:pPr>
      <w:r>
        <w:t>The Contractor must document the condition and completeness of all received Participant files within ten (10) business days of receipt and notify ICOA in writing of any missing, incomplete, or inaccessible records. Upon receiving such notice, ICOA will work with the Contractor to resolve identified gaps prior to the operational start date. Notwithstanding any gaps identified during the transition, the Contractor remains responsible for establishing full file completeness as a condition of operational readiness under Section 1.2.</w:t>
      </w:r>
    </w:p>
    <w:p w14:paraId="2353C78D" w14:textId="77777777" w:rsidR="00A632C8" w:rsidRPr="00667F6C" w:rsidRDefault="00A632C8" w:rsidP="00A632C8">
      <w:pPr>
        <w:pStyle w:val="ListParagraph"/>
        <w:ind w:left="792"/>
        <w:jc w:val="both"/>
        <w:rPr>
          <w:b/>
          <w:bCs/>
        </w:rPr>
      </w:pPr>
    </w:p>
    <w:p w14:paraId="601B41B7" w14:textId="3F378544" w:rsidR="00A632C8" w:rsidRPr="00667F6C" w:rsidRDefault="00D843DD" w:rsidP="00007DE4">
      <w:pPr>
        <w:pStyle w:val="ListParagraph"/>
        <w:numPr>
          <w:ilvl w:val="1"/>
          <w:numId w:val="21"/>
        </w:numPr>
        <w:jc w:val="both"/>
        <w:rPr>
          <w:b/>
          <w:bCs/>
        </w:rPr>
      </w:pPr>
      <w:r>
        <w:rPr>
          <w:b/>
          <w:bCs/>
        </w:rPr>
        <w:t>Host Agency Continuity</w:t>
      </w:r>
    </w:p>
    <w:p w14:paraId="10B4ECFD" w14:textId="575A351A" w:rsidR="00A632C8" w:rsidRDefault="00A632C8" w:rsidP="00A632C8">
      <w:pPr>
        <w:pStyle w:val="ListParagraph"/>
        <w:ind w:left="792"/>
        <w:jc w:val="both"/>
      </w:pPr>
      <w:r>
        <w:t>The Contractor is responsible for ensuring uninterrupted community service assignments for all Participants enrolled at the time of transition. The Contractor must contact all active host agencies and execute new or assumed Host Agency Agreements, as required under Exhibit 4, Section 6, prior to the operational start date. No Participant placement may continue at a Host Agency site without a fully executed Host Agency Agreement between that agency and the Contractor.</w:t>
      </w:r>
    </w:p>
    <w:p w14:paraId="07F461C8" w14:textId="77777777" w:rsidR="00A632C8" w:rsidRPr="00667F6C" w:rsidRDefault="00A632C8" w:rsidP="00A632C8">
      <w:pPr>
        <w:pStyle w:val="ListParagraph"/>
        <w:ind w:left="792"/>
        <w:jc w:val="both"/>
        <w:rPr>
          <w:b/>
          <w:bCs/>
        </w:rPr>
      </w:pPr>
    </w:p>
    <w:p w14:paraId="4557EE27" w14:textId="77777777" w:rsidR="00A632C8" w:rsidRPr="00667F6C" w:rsidRDefault="00A632C8" w:rsidP="00007DE4">
      <w:pPr>
        <w:pStyle w:val="ListParagraph"/>
        <w:numPr>
          <w:ilvl w:val="1"/>
          <w:numId w:val="21"/>
        </w:numPr>
        <w:jc w:val="both"/>
        <w:rPr>
          <w:b/>
          <w:bCs/>
        </w:rPr>
      </w:pPr>
      <w:r>
        <w:rPr>
          <w:b/>
          <w:bCs/>
        </w:rPr>
        <w:t>Payroll Continuity</w:t>
      </w:r>
    </w:p>
    <w:p w14:paraId="5958265B" w14:textId="14DFD365" w:rsidR="00A632C8" w:rsidRPr="006F0D6E" w:rsidRDefault="00A632C8" w:rsidP="00A632C8">
      <w:pPr>
        <w:pStyle w:val="ListParagraph"/>
        <w:ind w:left="792"/>
        <w:jc w:val="both"/>
        <w:rPr>
          <w:b/>
          <w:bCs/>
        </w:rPr>
      </w:pPr>
      <w:r>
        <w:t>The Contractor must establish payroll systems and processes sufficient to ensure that Participants experience no gap in wage payments during the transition from the current program operator. The Contractor must coordinate with the current operator and ICOA as needed to confirm the last payroll date of the preceding operator and ensure the first payroll cycle under the new Contract is processed without interruption.</w:t>
      </w:r>
    </w:p>
    <w:p w14:paraId="25C4693F" w14:textId="77777777" w:rsidR="00A632C8" w:rsidRPr="00667F6C" w:rsidRDefault="00A632C8" w:rsidP="00A632C8">
      <w:pPr>
        <w:jc w:val="both"/>
        <w:rPr>
          <w:b/>
          <w:bCs/>
        </w:rPr>
      </w:pPr>
    </w:p>
    <w:p w14:paraId="7B0656D9" w14:textId="2757B6B3" w:rsidR="00A632C8" w:rsidRDefault="00D843DD" w:rsidP="00007DE4">
      <w:pPr>
        <w:pStyle w:val="ListParagraph"/>
        <w:numPr>
          <w:ilvl w:val="0"/>
          <w:numId w:val="21"/>
        </w:numPr>
        <w:jc w:val="both"/>
        <w:rPr>
          <w:b/>
          <w:bCs/>
        </w:rPr>
      </w:pPr>
      <w:r>
        <w:rPr>
          <w:b/>
          <w:bCs/>
        </w:rPr>
        <w:t>Participant Intake and Enrollment</w:t>
      </w:r>
    </w:p>
    <w:p w14:paraId="3D3EAF2E" w14:textId="45E3974D" w:rsidR="00A632C8" w:rsidRPr="000D09AD" w:rsidRDefault="00A632C8" w:rsidP="00A632C8">
      <w:pPr>
        <w:pStyle w:val="ListParagraph"/>
        <w:ind w:left="360"/>
        <w:jc w:val="both"/>
        <w:rPr>
          <w:b/>
          <w:bCs/>
        </w:rPr>
      </w:pPr>
      <w:r>
        <w:t>The Contractor must provide the intake and enrollment services described in this Section to SCSEP Participants. All services must comply with 20 CFR Part 641 and applicable TEGLs.</w:t>
      </w:r>
    </w:p>
    <w:p w14:paraId="28D3445D" w14:textId="77777777" w:rsidR="00A632C8" w:rsidRPr="001A7504" w:rsidRDefault="00A632C8" w:rsidP="00A632C8">
      <w:pPr>
        <w:pStyle w:val="ListParagraph"/>
        <w:ind w:left="360"/>
        <w:jc w:val="both"/>
      </w:pPr>
    </w:p>
    <w:p w14:paraId="4BF276A8" w14:textId="4C542980" w:rsidR="00A632C8" w:rsidRPr="00FA25EE" w:rsidRDefault="00FA25EE" w:rsidP="00007DE4">
      <w:pPr>
        <w:pStyle w:val="ListParagraph"/>
        <w:numPr>
          <w:ilvl w:val="1"/>
          <w:numId w:val="21"/>
        </w:numPr>
        <w:jc w:val="both"/>
        <w:rPr>
          <w:b/>
          <w:bCs/>
        </w:rPr>
      </w:pPr>
      <w:r>
        <w:rPr>
          <w:b/>
          <w:bCs/>
        </w:rPr>
        <w:t>Documentation Requirement</w:t>
      </w:r>
    </w:p>
    <w:p w14:paraId="6181CF08" w14:textId="7321D54B" w:rsidR="00FA25EE" w:rsidRPr="00FA25EE" w:rsidRDefault="00FA25EE" w:rsidP="00FA25EE">
      <w:pPr>
        <w:pStyle w:val="ListParagraph"/>
        <w:ind w:left="792"/>
        <w:jc w:val="both"/>
        <w:rPr>
          <w:b/>
          <w:bCs/>
        </w:rPr>
      </w:pPr>
      <w:r>
        <w:t>Unless otherwise specified, all Participant services, contacts, case notes, and program actions required under Sections 2 through 5 of this Exhibit must be documented in both the Participant's case file and in GPMS within the timeframes required by USDOL.</w:t>
      </w:r>
    </w:p>
    <w:p w14:paraId="37D6D080" w14:textId="77777777" w:rsidR="00FA25EE" w:rsidRDefault="00FA25EE" w:rsidP="00FA25EE">
      <w:pPr>
        <w:pStyle w:val="ListParagraph"/>
        <w:ind w:left="792"/>
        <w:jc w:val="both"/>
        <w:rPr>
          <w:b/>
          <w:bCs/>
        </w:rPr>
      </w:pPr>
    </w:p>
    <w:p w14:paraId="5A1D55C6" w14:textId="7A5FF583" w:rsidR="00FA25EE" w:rsidRDefault="00FA25EE" w:rsidP="00007DE4">
      <w:pPr>
        <w:pStyle w:val="ListParagraph"/>
        <w:numPr>
          <w:ilvl w:val="1"/>
          <w:numId w:val="21"/>
        </w:numPr>
        <w:jc w:val="both"/>
        <w:rPr>
          <w:b/>
          <w:bCs/>
        </w:rPr>
      </w:pPr>
      <w:r>
        <w:rPr>
          <w:b/>
          <w:bCs/>
        </w:rPr>
        <w:t>Outreach and Recruitment</w:t>
      </w:r>
    </w:p>
    <w:p w14:paraId="2FBEE0D3" w14:textId="77777777" w:rsidR="00A632C8" w:rsidRDefault="00A632C8" w:rsidP="00A632C8">
      <w:pPr>
        <w:pStyle w:val="ListParagraph"/>
        <w:ind w:left="792"/>
        <w:jc w:val="both"/>
      </w:pPr>
      <w:r>
        <w:t>The Contractor must conduct ongoing outreach and recruitment to identify and enroll eligible individuals, with priority given to those with the greatest economic and social need. Outreach must:</w:t>
      </w:r>
    </w:p>
    <w:p w14:paraId="48C3D7AB" w14:textId="77777777" w:rsidR="00A632C8" w:rsidRPr="001A7504" w:rsidRDefault="00A632C8" w:rsidP="00A632C8">
      <w:pPr>
        <w:pStyle w:val="ListParagraph"/>
        <w:ind w:left="792"/>
        <w:jc w:val="both"/>
      </w:pPr>
    </w:p>
    <w:p w14:paraId="1C358CDF" w14:textId="77777777" w:rsidR="00A632C8" w:rsidRDefault="00A632C8" w:rsidP="00007DE4">
      <w:pPr>
        <w:pStyle w:val="ListParagraph"/>
        <w:numPr>
          <w:ilvl w:val="2"/>
          <w:numId w:val="21"/>
        </w:numPr>
        <w:ind w:left="1350" w:hanging="630"/>
        <w:jc w:val="both"/>
      </w:pPr>
      <w:r>
        <w:t>Reach individuals in all geographic areas covered by the contract (currently Ada County and Gem County);</w:t>
      </w:r>
    </w:p>
    <w:p w14:paraId="4F38A80D" w14:textId="77777777" w:rsidR="00063739" w:rsidRDefault="00063739" w:rsidP="00063739">
      <w:pPr>
        <w:pStyle w:val="ListParagraph"/>
        <w:ind w:left="1350"/>
        <w:jc w:val="both"/>
      </w:pPr>
    </w:p>
    <w:p w14:paraId="4D6A0101" w14:textId="77777777" w:rsidR="00A632C8" w:rsidRDefault="00A632C8" w:rsidP="00007DE4">
      <w:pPr>
        <w:pStyle w:val="ListParagraph"/>
        <w:numPr>
          <w:ilvl w:val="2"/>
          <w:numId w:val="21"/>
        </w:numPr>
        <w:ind w:left="1350" w:hanging="630"/>
        <w:jc w:val="both"/>
      </w:pPr>
      <w:r>
        <w:t>Prioritize outreach to the following populations:</w:t>
      </w:r>
    </w:p>
    <w:p w14:paraId="76B573D4" w14:textId="77777777" w:rsidR="00A632C8" w:rsidRDefault="00A632C8" w:rsidP="00A632C8">
      <w:pPr>
        <w:pStyle w:val="ListParagraph"/>
        <w:ind w:left="1224"/>
        <w:jc w:val="both"/>
      </w:pPr>
    </w:p>
    <w:p w14:paraId="2A297E82" w14:textId="77777777" w:rsidR="00A632C8" w:rsidRDefault="00A632C8" w:rsidP="00007DE4">
      <w:pPr>
        <w:pStyle w:val="ListParagraph"/>
        <w:numPr>
          <w:ilvl w:val="3"/>
          <w:numId w:val="21"/>
        </w:numPr>
        <w:jc w:val="both"/>
      </w:pPr>
      <w:r>
        <w:t>Veterans and qualified spouses;</w:t>
      </w:r>
    </w:p>
    <w:p w14:paraId="6C792912" w14:textId="77777777" w:rsidR="008C096B" w:rsidRDefault="008C096B" w:rsidP="008C096B">
      <w:pPr>
        <w:pStyle w:val="ListParagraph"/>
        <w:ind w:left="1728"/>
        <w:jc w:val="both"/>
      </w:pPr>
    </w:p>
    <w:p w14:paraId="14E709AF" w14:textId="77777777" w:rsidR="00A632C8" w:rsidRDefault="00A632C8" w:rsidP="00007DE4">
      <w:pPr>
        <w:pStyle w:val="ListParagraph"/>
        <w:numPr>
          <w:ilvl w:val="3"/>
          <w:numId w:val="21"/>
        </w:numPr>
        <w:jc w:val="both"/>
      </w:pPr>
      <w:r>
        <w:t xml:space="preserve">Individuals 65 and older; </w:t>
      </w:r>
    </w:p>
    <w:p w14:paraId="03C15C7B" w14:textId="77777777" w:rsidR="008C096B" w:rsidRDefault="008C096B" w:rsidP="008C096B">
      <w:pPr>
        <w:pStyle w:val="ListParagraph"/>
        <w:ind w:left="1728"/>
        <w:jc w:val="both"/>
      </w:pPr>
    </w:p>
    <w:p w14:paraId="7E6B4AD9" w14:textId="77777777" w:rsidR="00A632C8" w:rsidRDefault="00A632C8" w:rsidP="00007DE4">
      <w:pPr>
        <w:pStyle w:val="ListParagraph"/>
        <w:numPr>
          <w:ilvl w:val="3"/>
          <w:numId w:val="21"/>
        </w:numPr>
        <w:jc w:val="both"/>
      </w:pPr>
      <w:r>
        <w:t xml:space="preserve">Individuals with disabilities; </w:t>
      </w:r>
    </w:p>
    <w:p w14:paraId="26BAA9D9" w14:textId="77777777" w:rsidR="008C096B" w:rsidRDefault="008C096B" w:rsidP="008C096B">
      <w:pPr>
        <w:pStyle w:val="ListParagraph"/>
        <w:ind w:left="1728"/>
        <w:jc w:val="both"/>
      </w:pPr>
    </w:p>
    <w:p w14:paraId="75236396" w14:textId="77777777" w:rsidR="00A632C8" w:rsidRDefault="00A632C8" w:rsidP="00007DE4">
      <w:pPr>
        <w:pStyle w:val="ListParagraph"/>
        <w:numPr>
          <w:ilvl w:val="3"/>
          <w:numId w:val="21"/>
        </w:numPr>
        <w:jc w:val="both"/>
      </w:pPr>
      <w:r>
        <w:t xml:space="preserve">Individuals with limited English proficiency or low literacy; </w:t>
      </w:r>
    </w:p>
    <w:p w14:paraId="53FBF9B5" w14:textId="77777777" w:rsidR="008C096B" w:rsidRDefault="008C096B" w:rsidP="008C096B">
      <w:pPr>
        <w:pStyle w:val="ListParagraph"/>
        <w:ind w:left="1728"/>
        <w:jc w:val="both"/>
      </w:pPr>
    </w:p>
    <w:p w14:paraId="69B05BF7" w14:textId="77777777" w:rsidR="00A632C8" w:rsidRDefault="00A632C8" w:rsidP="00007DE4">
      <w:pPr>
        <w:pStyle w:val="ListParagraph"/>
        <w:numPr>
          <w:ilvl w:val="3"/>
          <w:numId w:val="21"/>
        </w:numPr>
        <w:jc w:val="both"/>
      </w:pPr>
      <w:r>
        <w:t>Rural residents;</w:t>
      </w:r>
    </w:p>
    <w:p w14:paraId="71E00F57" w14:textId="77777777" w:rsidR="008C096B" w:rsidRDefault="008C096B" w:rsidP="008C096B">
      <w:pPr>
        <w:pStyle w:val="ListParagraph"/>
        <w:ind w:left="1728"/>
        <w:jc w:val="both"/>
      </w:pPr>
    </w:p>
    <w:p w14:paraId="2DC4F0EB" w14:textId="77777777" w:rsidR="00A632C8" w:rsidRDefault="00A632C8" w:rsidP="00007DE4">
      <w:pPr>
        <w:pStyle w:val="ListParagraph"/>
        <w:numPr>
          <w:ilvl w:val="3"/>
          <w:numId w:val="21"/>
        </w:numPr>
        <w:jc w:val="both"/>
      </w:pPr>
      <w:r>
        <w:t>Individuals who are homeless or at risk of homelessness;</w:t>
      </w:r>
    </w:p>
    <w:p w14:paraId="65BCB004" w14:textId="77777777" w:rsidR="008C096B" w:rsidRDefault="008C096B" w:rsidP="008C096B">
      <w:pPr>
        <w:pStyle w:val="ListParagraph"/>
        <w:ind w:left="1728"/>
        <w:jc w:val="both"/>
      </w:pPr>
    </w:p>
    <w:p w14:paraId="775B2735" w14:textId="77777777" w:rsidR="00A632C8" w:rsidRDefault="00A632C8" w:rsidP="00007DE4">
      <w:pPr>
        <w:pStyle w:val="ListParagraph"/>
        <w:numPr>
          <w:ilvl w:val="3"/>
          <w:numId w:val="21"/>
        </w:numPr>
        <w:jc w:val="both"/>
      </w:pPr>
      <w:r>
        <w:t xml:space="preserve">Individuals who are formerly incarcerated; or </w:t>
      </w:r>
    </w:p>
    <w:p w14:paraId="0B27A383" w14:textId="77777777" w:rsidR="008C096B" w:rsidRDefault="008C096B" w:rsidP="008C096B">
      <w:pPr>
        <w:pStyle w:val="ListParagraph"/>
        <w:ind w:left="1728"/>
        <w:jc w:val="both"/>
      </w:pPr>
    </w:p>
    <w:p w14:paraId="7EFC1329" w14:textId="77777777" w:rsidR="00A632C8" w:rsidRDefault="00A632C8" w:rsidP="00007DE4">
      <w:pPr>
        <w:pStyle w:val="ListParagraph"/>
        <w:numPr>
          <w:ilvl w:val="3"/>
          <w:numId w:val="21"/>
        </w:numPr>
        <w:jc w:val="both"/>
      </w:pPr>
      <w:r>
        <w:t>Individuals with low employment prospects.</w:t>
      </w:r>
    </w:p>
    <w:p w14:paraId="2778164A" w14:textId="77777777" w:rsidR="00A632C8" w:rsidRPr="001A7504" w:rsidRDefault="00A632C8" w:rsidP="00A632C8">
      <w:pPr>
        <w:pStyle w:val="ListParagraph"/>
        <w:ind w:left="1728"/>
        <w:jc w:val="both"/>
      </w:pPr>
    </w:p>
    <w:p w14:paraId="44FBDB3E" w14:textId="77777777" w:rsidR="00A632C8" w:rsidRDefault="00A632C8" w:rsidP="00007DE4">
      <w:pPr>
        <w:pStyle w:val="ListParagraph"/>
        <w:numPr>
          <w:ilvl w:val="2"/>
          <w:numId w:val="21"/>
        </w:numPr>
        <w:ind w:left="1350" w:hanging="630"/>
        <w:jc w:val="both"/>
      </w:pPr>
      <w:r>
        <w:t>Utilize multiple outreach channels, including coordination with AAAs, ADRCs, American Job Centers, and community-based organizations; and</w:t>
      </w:r>
    </w:p>
    <w:p w14:paraId="434552EC" w14:textId="77777777" w:rsidR="00063739" w:rsidRPr="001A7504" w:rsidRDefault="00063739" w:rsidP="00063739">
      <w:pPr>
        <w:pStyle w:val="ListParagraph"/>
        <w:ind w:left="1350"/>
        <w:jc w:val="both"/>
      </w:pPr>
    </w:p>
    <w:p w14:paraId="0D16A282" w14:textId="77777777" w:rsidR="00A632C8" w:rsidRDefault="00A632C8" w:rsidP="00007DE4">
      <w:pPr>
        <w:pStyle w:val="ListParagraph"/>
        <w:numPr>
          <w:ilvl w:val="2"/>
          <w:numId w:val="21"/>
        </w:numPr>
        <w:ind w:left="1350" w:hanging="630"/>
        <w:jc w:val="both"/>
      </w:pPr>
      <w:r>
        <w:t>Maintain a waiting list in GPMS for all eligible individuals who cannot be immediately enrolled. The Contractor must:</w:t>
      </w:r>
    </w:p>
    <w:p w14:paraId="28518310" w14:textId="77777777" w:rsidR="00063739" w:rsidRDefault="00063739" w:rsidP="00063739">
      <w:pPr>
        <w:pStyle w:val="ListParagraph"/>
        <w:ind w:left="1350"/>
        <w:jc w:val="both"/>
      </w:pPr>
    </w:p>
    <w:p w14:paraId="3865058E" w14:textId="77777777" w:rsidR="00A632C8" w:rsidRDefault="00A632C8" w:rsidP="00007DE4">
      <w:pPr>
        <w:pStyle w:val="ListParagraph"/>
        <w:numPr>
          <w:ilvl w:val="3"/>
          <w:numId w:val="21"/>
        </w:numPr>
        <w:ind w:left="2160" w:hanging="1080"/>
        <w:jc w:val="both"/>
      </w:pPr>
      <w:r>
        <w:t>Contact each individual on the waiting list at least every ninety (90) days to confirm continued interest and eligibility;</w:t>
      </w:r>
    </w:p>
    <w:p w14:paraId="7A307FDF" w14:textId="77777777" w:rsidR="008C096B" w:rsidRDefault="008C096B" w:rsidP="008C096B">
      <w:pPr>
        <w:pStyle w:val="ListParagraph"/>
        <w:ind w:left="2160"/>
        <w:jc w:val="both"/>
      </w:pPr>
    </w:p>
    <w:p w14:paraId="1692F87F" w14:textId="77777777" w:rsidR="00A632C8" w:rsidRDefault="00A632C8" w:rsidP="00007DE4">
      <w:pPr>
        <w:pStyle w:val="ListParagraph"/>
        <w:numPr>
          <w:ilvl w:val="3"/>
          <w:numId w:val="21"/>
        </w:numPr>
        <w:ind w:left="2160" w:hanging="1080"/>
        <w:jc w:val="both"/>
      </w:pPr>
      <w:r>
        <w:t>Offer enrollment to waiting list individuals in accordance with federal enrollment priority rules and ICOA’s Veterans’ Priority of Service Policy;</w:t>
      </w:r>
    </w:p>
    <w:p w14:paraId="5E909B61" w14:textId="77777777" w:rsidR="008C096B" w:rsidRDefault="008C096B" w:rsidP="008C096B">
      <w:pPr>
        <w:pStyle w:val="ListParagraph"/>
        <w:ind w:left="2160"/>
        <w:jc w:val="both"/>
      </w:pPr>
    </w:p>
    <w:p w14:paraId="1F53E6CC" w14:textId="77777777" w:rsidR="00A632C8" w:rsidRDefault="00A632C8" w:rsidP="00007DE4">
      <w:pPr>
        <w:pStyle w:val="ListParagraph"/>
        <w:numPr>
          <w:ilvl w:val="3"/>
          <w:numId w:val="21"/>
        </w:numPr>
        <w:ind w:left="2160" w:hanging="1080"/>
        <w:jc w:val="both"/>
      </w:pPr>
      <w:r>
        <w:t>Remove individuals from the waiting list who cannot be contacted after two (2) documented attempts within a 30-day period, or who affirmatively decline enrollment; and</w:t>
      </w:r>
    </w:p>
    <w:p w14:paraId="2EFD74CA" w14:textId="77777777" w:rsidR="008C096B" w:rsidRDefault="008C096B" w:rsidP="008C096B">
      <w:pPr>
        <w:pStyle w:val="ListParagraph"/>
        <w:ind w:left="2160"/>
        <w:jc w:val="both"/>
      </w:pPr>
    </w:p>
    <w:p w14:paraId="70C9DE99" w14:textId="77777777" w:rsidR="00A632C8" w:rsidRPr="009A7AF3" w:rsidRDefault="00A632C8" w:rsidP="00007DE4">
      <w:pPr>
        <w:pStyle w:val="ListParagraph"/>
        <w:numPr>
          <w:ilvl w:val="3"/>
          <w:numId w:val="21"/>
        </w:numPr>
        <w:ind w:left="2160" w:hanging="1080"/>
        <w:jc w:val="both"/>
      </w:pPr>
      <w:r>
        <w:t>Document all waiting list contacts and actions in GPMS.</w:t>
      </w:r>
    </w:p>
    <w:p w14:paraId="0B6D8028" w14:textId="77777777" w:rsidR="00A632C8" w:rsidRPr="00B470B8" w:rsidRDefault="00A632C8" w:rsidP="00A632C8">
      <w:pPr>
        <w:jc w:val="both"/>
      </w:pPr>
    </w:p>
    <w:p w14:paraId="02DA39A7" w14:textId="77777777" w:rsidR="00A632C8" w:rsidRPr="001A7504" w:rsidRDefault="00A632C8" w:rsidP="00007DE4">
      <w:pPr>
        <w:pStyle w:val="ListParagraph"/>
        <w:numPr>
          <w:ilvl w:val="1"/>
          <w:numId w:val="21"/>
        </w:numPr>
        <w:jc w:val="both"/>
        <w:rPr>
          <w:b/>
          <w:bCs/>
        </w:rPr>
      </w:pPr>
      <w:r>
        <w:rPr>
          <w:b/>
          <w:bCs/>
        </w:rPr>
        <w:t>Eligibility Determination and Enrollment</w:t>
      </w:r>
    </w:p>
    <w:p w14:paraId="08E27B36" w14:textId="77777777" w:rsidR="00A632C8" w:rsidRDefault="00A632C8" w:rsidP="00A632C8">
      <w:pPr>
        <w:pStyle w:val="ListParagraph"/>
        <w:ind w:left="792"/>
        <w:jc w:val="both"/>
      </w:pPr>
      <w:r>
        <w:t>The Contractor must conduct thorough eligibility determinations for all applicants prior to enrollment. Requirements include:</w:t>
      </w:r>
    </w:p>
    <w:p w14:paraId="739D7B4B" w14:textId="77777777" w:rsidR="00A632C8" w:rsidRDefault="00A632C8" w:rsidP="00A632C8">
      <w:pPr>
        <w:pStyle w:val="ListParagraph"/>
        <w:ind w:left="792"/>
        <w:jc w:val="both"/>
      </w:pPr>
    </w:p>
    <w:p w14:paraId="7B8FD150" w14:textId="77777777" w:rsidR="00A632C8" w:rsidRDefault="00A632C8" w:rsidP="00007DE4">
      <w:pPr>
        <w:pStyle w:val="ListParagraph"/>
        <w:numPr>
          <w:ilvl w:val="2"/>
          <w:numId w:val="21"/>
        </w:numPr>
        <w:ind w:left="1350" w:hanging="630"/>
        <w:jc w:val="both"/>
      </w:pPr>
      <w:r>
        <w:t>Verify all eligibility criteria: age (55+), unemployment status, and income (at or below 125% of federal poverty level);</w:t>
      </w:r>
    </w:p>
    <w:p w14:paraId="6E6B87BF" w14:textId="77777777" w:rsidR="000C799E" w:rsidRDefault="000C799E" w:rsidP="000C799E">
      <w:pPr>
        <w:pStyle w:val="ListParagraph"/>
        <w:ind w:left="1350"/>
        <w:jc w:val="both"/>
      </w:pPr>
    </w:p>
    <w:p w14:paraId="575DDC54" w14:textId="77777777" w:rsidR="00A632C8" w:rsidRDefault="00A632C8" w:rsidP="00007DE4">
      <w:pPr>
        <w:pStyle w:val="ListParagraph"/>
        <w:numPr>
          <w:ilvl w:val="2"/>
          <w:numId w:val="21"/>
        </w:numPr>
        <w:ind w:left="1350" w:hanging="630"/>
        <w:jc w:val="both"/>
      </w:pPr>
      <w:r>
        <w:t>Apply enrollment priority in accordance with federal regulations and ICOA's Veterans' Priority of Service Policy;</w:t>
      </w:r>
    </w:p>
    <w:p w14:paraId="70036D81" w14:textId="77777777" w:rsidR="000C799E" w:rsidRDefault="000C799E" w:rsidP="000C799E">
      <w:pPr>
        <w:pStyle w:val="ListParagraph"/>
        <w:ind w:left="1350"/>
        <w:jc w:val="both"/>
      </w:pPr>
    </w:p>
    <w:p w14:paraId="46DA5C81" w14:textId="77777777" w:rsidR="00A632C8" w:rsidRDefault="00A632C8" w:rsidP="00007DE4">
      <w:pPr>
        <w:pStyle w:val="ListParagraph"/>
        <w:numPr>
          <w:ilvl w:val="2"/>
          <w:numId w:val="21"/>
        </w:numPr>
        <w:ind w:left="1350" w:hanging="630"/>
        <w:jc w:val="both"/>
      </w:pPr>
      <w:r>
        <w:t>Complete and maintain all required intake documentation, including the application form and income determination documentation;</w:t>
      </w:r>
    </w:p>
    <w:p w14:paraId="0C571960" w14:textId="77777777" w:rsidR="000C799E" w:rsidRDefault="000C799E" w:rsidP="000C799E">
      <w:pPr>
        <w:pStyle w:val="ListParagraph"/>
        <w:ind w:left="1350"/>
        <w:jc w:val="both"/>
      </w:pPr>
    </w:p>
    <w:p w14:paraId="00D88F4A" w14:textId="0145825D" w:rsidR="00063739" w:rsidRDefault="00A632C8" w:rsidP="00007DE4">
      <w:pPr>
        <w:pStyle w:val="ListParagraph"/>
        <w:numPr>
          <w:ilvl w:val="2"/>
          <w:numId w:val="21"/>
        </w:numPr>
        <w:ind w:left="1350" w:hanging="630"/>
        <w:jc w:val="both"/>
      </w:pPr>
      <w:r>
        <w:t>Enter all enrollment data into GPMS accurately and within required timeframes; and</w:t>
      </w:r>
    </w:p>
    <w:p w14:paraId="2054731E" w14:textId="77777777" w:rsidR="000C799E" w:rsidRDefault="000C799E" w:rsidP="000C799E">
      <w:pPr>
        <w:pStyle w:val="ListParagraph"/>
        <w:ind w:left="1350"/>
        <w:jc w:val="both"/>
      </w:pPr>
    </w:p>
    <w:p w14:paraId="38E8131B" w14:textId="52D7A10C" w:rsidR="00A632C8" w:rsidRDefault="00A632C8" w:rsidP="00007DE4">
      <w:pPr>
        <w:pStyle w:val="ListParagraph"/>
        <w:numPr>
          <w:ilvl w:val="2"/>
          <w:numId w:val="21"/>
        </w:numPr>
        <w:ind w:left="1350" w:hanging="630"/>
        <w:jc w:val="both"/>
      </w:pPr>
      <w:r>
        <w:t>Provide each new enrollee with a written orientation covering program purpose, Participant rights and responsibilities, the durational limit policy, the termination policy, and the grievance procedure.</w:t>
      </w:r>
    </w:p>
    <w:p w14:paraId="3043EB33" w14:textId="77777777" w:rsidR="008C096B" w:rsidRPr="007A6721" w:rsidRDefault="008C096B" w:rsidP="00A632C8">
      <w:pPr>
        <w:jc w:val="both"/>
        <w:rPr>
          <w:b/>
          <w:bCs/>
        </w:rPr>
      </w:pPr>
    </w:p>
    <w:p w14:paraId="21E400BB" w14:textId="77777777" w:rsidR="00A632C8" w:rsidRPr="001A7504" w:rsidRDefault="00A632C8" w:rsidP="00007DE4">
      <w:pPr>
        <w:pStyle w:val="ListParagraph"/>
        <w:numPr>
          <w:ilvl w:val="1"/>
          <w:numId w:val="21"/>
        </w:numPr>
        <w:jc w:val="both"/>
        <w:rPr>
          <w:b/>
          <w:bCs/>
        </w:rPr>
      </w:pPr>
      <w:r>
        <w:rPr>
          <w:b/>
          <w:bCs/>
        </w:rPr>
        <w:t>Assessment</w:t>
      </w:r>
    </w:p>
    <w:p w14:paraId="42FCCF10" w14:textId="77777777" w:rsidR="00A632C8" w:rsidRDefault="00A632C8" w:rsidP="00A632C8">
      <w:pPr>
        <w:pStyle w:val="ListParagraph"/>
        <w:ind w:left="792"/>
        <w:jc w:val="both"/>
      </w:pPr>
      <w:r>
        <w:t>The Contractor must conduct an individualized assessment of each enrollee's employment barriers, skills, experience, interests, and training needs. The assessment must:</w:t>
      </w:r>
    </w:p>
    <w:p w14:paraId="77A07D70" w14:textId="77777777" w:rsidR="00A632C8" w:rsidRDefault="00A632C8" w:rsidP="00A632C8">
      <w:pPr>
        <w:pStyle w:val="ListParagraph"/>
        <w:ind w:left="792"/>
        <w:jc w:val="both"/>
      </w:pPr>
    </w:p>
    <w:p w14:paraId="62F92FB7" w14:textId="77777777" w:rsidR="00A632C8" w:rsidRDefault="00A632C8" w:rsidP="00007DE4">
      <w:pPr>
        <w:pStyle w:val="ListParagraph"/>
        <w:numPr>
          <w:ilvl w:val="2"/>
          <w:numId w:val="21"/>
        </w:numPr>
        <w:ind w:left="1350" w:hanging="630"/>
        <w:jc w:val="both"/>
      </w:pPr>
      <w:r>
        <w:t>Be completed at or near the time of enrollment and updated as circumstances change;</w:t>
      </w:r>
    </w:p>
    <w:p w14:paraId="04D75BE4" w14:textId="77777777" w:rsidR="00322CA4" w:rsidRDefault="00322CA4" w:rsidP="00322CA4">
      <w:pPr>
        <w:pStyle w:val="ListParagraph"/>
        <w:ind w:left="1350"/>
        <w:jc w:val="both"/>
      </w:pPr>
    </w:p>
    <w:p w14:paraId="0CA86D67" w14:textId="77777777" w:rsidR="00A632C8" w:rsidRDefault="00A632C8" w:rsidP="00007DE4">
      <w:pPr>
        <w:pStyle w:val="ListParagraph"/>
        <w:numPr>
          <w:ilvl w:val="2"/>
          <w:numId w:val="21"/>
        </w:numPr>
        <w:ind w:left="1350" w:hanging="630"/>
        <w:jc w:val="both"/>
      </w:pPr>
      <w:r>
        <w:t>Inform the development of the Individual Employment Plan (IEP);</w:t>
      </w:r>
    </w:p>
    <w:p w14:paraId="1EE2EBD3" w14:textId="77777777" w:rsidR="00322CA4" w:rsidRDefault="00322CA4" w:rsidP="00322CA4">
      <w:pPr>
        <w:jc w:val="both"/>
      </w:pPr>
    </w:p>
    <w:p w14:paraId="3479CDCD" w14:textId="77777777" w:rsidR="00A632C8" w:rsidRDefault="00A632C8" w:rsidP="00007DE4">
      <w:pPr>
        <w:pStyle w:val="ListParagraph"/>
        <w:numPr>
          <w:ilvl w:val="2"/>
          <w:numId w:val="21"/>
        </w:numPr>
        <w:ind w:left="1350" w:hanging="630"/>
        <w:jc w:val="both"/>
      </w:pPr>
      <w:r>
        <w:t>Identify supportive services needed to enable participation; and</w:t>
      </w:r>
    </w:p>
    <w:p w14:paraId="55D5B646" w14:textId="77777777" w:rsidR="00322CA4" w:rsidRDefault="00322CA4" w:rsidP="00322CA4">
      <w:pPr>
        <w:jc w:val="both"/>
      </w:pPr>
    </w:p>
    <w:p w14:paraId="3FD912F4" w14:textId="781E2E3B" w:rsidR="00A632C8" w:rsidRDefault="00A632C8" w:rsidP="00007DE4">
      <w:pPr>
        <w:pStyle w:val="ListParagraph"/>
        <w:numPr>
          <w:ilvl w:val="2"/>
          <w:numId w:val="21"/>
        </w:numPr>
        <w:ind w:left="1350" w:hanging="630"/>
        <w:jc w:val="both"/>
      </w:pPr>
      <w:r>
        <w:t>Be documented in the Participant's file and referenced in GPMS.</w:t>
      </w:r>
    </w:p>
    <w:p w14:paraId="05B9008C" w14:textId="77777777" w:rsidR="00A632C8" w:rsidRDefault="00A632C8" w:rsidP="00A632C8">
      <w:pPr>
        <w:pStyle w:val="ListParagraph"/>
        <w:ind w:left="792"/>
        <w:jc w:val="both"/>
        <w:rPr>
          <w:b/>
          <w:bCs/>
        </w:rPr>
      </w:pPr>
    </w:p>
    <w:p w14:paraId="2556AF89" w14:textId="430A03F2" w:rsidR="00A632C8" w:rsidRDefault="00A632C8" w:rsidP="00007DE4">
      <w:pPr>
        <w:pStyle w:val="ListParagraph"/>
        <w:numPr>
          <w:ilvl w:val="1"/>
          <w:numId w:val="21"/>
        </w:numPr>
        <w:jc w:val="both"/>
        <w:rPr>
          <w:b/>
          <w:bCs/>
        </w:rPr>
      </w:pPr>
      <w:r>
        <w:rPr>
          <w:b/>
          <w:bCs/>
        </w:rPr>
        <w:t>IEP Development</w:t>
      </w:r>
    </w:p>
    <w:p w14:paraId="0998E8D9" w14:textId="18C6420D" w:rsidR="00A632C8" w:rsidRDefault="00A632C8" w:rsidP="00A632C8">
      <w:pPr>
        <w:pStyle w:val="ListParagraph"/>
        <w:ind w:left="792"/>
        <w:jc w:val="both"/>
      </w:pPr>
      <w:r>
        <w:t>The Contractor must develop a written IEP jointly with each Participant based on the assessment. The IEP must:</w:t>
      </w:r>
    </w:p>
    <w:p w14:paraId="4A298AA6" w14:textId="77777777" w:rsidR="00A632C8" w:rsidRPr="00AB399F" w:rsidRDefault="00A632C8" w:rsidP="00A632C8">
      <w:pPr>
        <w:pStyle w:val="ListParagraph"/>
        <w:ind w:left="792"/>
        <w:jc w:val="both"/>
      </w:pPr>
    </w:p>
    <w:p w14:paraId="36B8D686" w14:textId="77777777" w:rsidR="00A632C8" w:rsidRDefault="00A632C8" w:rsidP="00007DE4">
      <w:pPr>
        <w:pStyle w:val="ListParagraph"/>
        <w:numPr>
          <w:ilvl w:val="2"/>
          <w:numId w:val="21"/>
        </w:numPr>
        <w:ind w:left="1350" w:hanging="630"/>
        <w:jc w:val="both"/>
      </w:pPr>
      <w:r>
        <w:t>Establish an appropriate employment goal (except for subsequent IEPs where an employment goal is not feasible);</w:t>
      </w:r>
    </w:p>
    <w:p w14:paraId="616AC124" w14:textId="77777777" w:rsidR="00322CA4" w:rsidRPr="00AB399F" w:rsidRDefault="00322CA4" w:rsidP="00322CA4">
      <w:pPr>
        <w:pStyle w:val="ListParagraph"/>
        <w:ind w:left="1350"/>
        <w:jc w:val="both"/>
      </w:pPr>
    </w:p>
    <w:p w14:paraId="6C0AB2CF" w14:textId="77777777" w:rsidR="00A632C8" w:rsidRDefault="00A632C8" w:rsidP="00007DE4">
      <w:pPr>
        <w:pStyle w:val="ListParagraph"/>
        <w:numPr>
          <w:ilvl w:val="2"/>
          <w:numId w:val="21"/>
        </w:numPr>
        <w:ind w:left="1350" w:hanging="630"/>
        <w:jc w:val="both"/>
      </w:pPr>
      <w:r>
        <w:t>Include measurable objectives and a timeline for achieving the goal;</w:t>
      </w:r>
    </w:p>
    <w:p w14:paraId="73FF64C5" w14:textId="77777777" w:rsidR="00322CA4" w:rsidRPr="00AB399F" w:rsidRDefault="00322CA4" w:rsidP="00322CA4">
      <w:pPr>
        <w:jc w:val="both"/>
      </w:pPr>
    </w:p>
    <w:p w14:paraId="717AB11F" w14:textId="77777777" w:rsidR="00A632C8" w:rsidRDefault="00A632C8" w:rsidP="00007DE4">
      <w:pPr>
        <w:pStyle w:val="ListParagraph"/>
        <w:numPr>
          <w:ilvl w:val="2"/>
          <w:numId w:val="21"/>
        </w:numPr>
        <w:ind w:left="1350" w:hanging="630"/>
        <w:jc w:val="both"/>
      </w:pPr>
      <w:r>
        <w:t>Identify the community service assignment, training activities, and supportive services to support the employment goal;</w:t>
      </w:r>
    </w:p>
    <w:p w14:paraId="63B3A53D" w14:textId="77777777" w:rsidR="00322CA4" w:rsidRPr="00AB399F" w:rsidRDefault="00322CA4" w:rsidP="00322CA4">
      <w:pPr>
        <w:jc w:val="both"/>
      </w:pPr>
    </w:p>
    <w:p w14:paraId="0AE9F145" w14:textId="2F9651DC" w:rsidR="00A632C8" w:rsidRDefault="00A632C8" w:rsidP="00007DE4">
      <w:pPr>
        <w:pStyle w:val="ListParagraph"/>
        <w:numPr>
          <w:ilvl w:val="2"/>
          <w:numId w:val="21"/>
        </w:numPr>
        <w:ind w:left="1350" w:hanging="630"/>
        <w:jc w:val="both"/>
      </w:pPr>
      <w:r>
        <w:t>Be updated at recertification and whenever there is a substantial change in the Participant's circumstances; and</w:t>
      </w:r>
    </w:p>
    <w:p w14:paraId="6DFDDB62" w14:textId="77777777" w:rsidR="00322CA4" w:rsidRPr="00AB399F" w:rsidRDefault="00322CA4" w:rsidP="00322CA4">
      <w:pPr>
        <w:jc w:val="both"/>
      </w:pPr>
    </w:p>
    <w:p w14:paraId="5D97C2BE" w14:textId="0C853D94" w:rsidR="00322CA4" w:rsidRDefault="00A632C8" w:rsidP="00007DE4">
      <w:pPr>
        <w:pStyle w:val="ListParagraph"/>
        <w:numPr>
          <w:ilvl w:val="2"/>
          <w:numId w:val="21"/>
        </w:numPr>
        <w:ind w:left="1350" w:hanging="630"/>
        <w:jc w:val="both"/>
      </w:pPr>
      <w:r>
        <w:t>Be documented in the Participant's file and reflected in GPMS.</w:t>
      </w:r>
    </w:p>
    <w:p w14:paraId="39980A1A" w14:textId="77777777" w:rsidR="00063739" w:rsidRDefault="00063739" w:rsidP="00063739">
      <w:pPr>
        <w:jc w:val="both"/>
      </w:pPr>
    </w:p>
    <w:p w14:paraId="70236F9C" w14:textId="77777777" w:rsidR="00322CA4" w:rsidRPr="00322CA4" w:rsidRDefault="00322CA4" w:rsidP="00007DE4">
      <w:pPr>
        <w:pStyle w:val="ListParagraph"/>
        <w:numPr>
          <w:ilvl w:val="2"/>
          <w:numId w:val="21"/>
        </w:numPr>
        <w:ind w:left="1350" w:hanging="630"/>
        <w:jc w:val="both"/>
        <w:rPr>
          <w:b/>
          <w:bCs/>
        </w:rPr>
      </w:pPr>
      <w:r>
        <w:rPr>
          <w:b/>
          <w:bCs/>
        </w:rPr>
        <w:t>Use of WIOA Individual Service Strategy (ISS) in Lieu of IEP</w:t>
      </w:r>
    </w:p>
    <w:p w14:paraId="77C25691" w14:textId="58DF28EE" w:rsidR="00A632C8" w:rsidRPr="00AB399F" w:rsidRDefault="00A632C8" w:rsidP="00322CA4">
      <w:pPr>
        <w:pStyle w:val="ListParagraph"/>
        <w:ind w:left="1350"/>
        <w:jc w:val="both"/>
      </w:pPr>
      <w:r>
        <w:t>In Idaho, the WIOA Individual Service Strategy (ISS) may be used to satisfy the IEP requirement for SCSEP enrollees who are co-enrolled in WIOA Title I Adult or Dislocated Worker services, provided that the ISS addresses all elements required under 20 CFR Part 641 for a SCSEP IEP, including the establishment of an employment goal, a community service assignment, and applicable supportive services. The Contractor must document co-enrollment status in the Participant's file and note in GPMS that the ISS is being used in lieu of a standalone IEP. In all other cases, a separate SCSEP IEP is required.</w:t>
      </w:r>
    </w:p>
    <w:p w14:paraId="77235583" w14:textId="77777777" w:rsidR="00A632C8" w:rsidRDefault="00A632C8" w:rsidP="00A632C8">
      <w:pPr>
        <w:jc w:val="both"/>
      </w:pPr>
    </w:p>
    <w:p w14:paraId="21948AE3" w14:textId="77777777" w:rsidR="00A632C8" w:rsidRDefault="00A632C8" w:rsidP="00007DE4">
      <w:pPr>
        <w:pStyle w:val="ListParagraph"/>
        <w:numPr>
          <w:ilvl w:val="0"/>
          <w:numId w:val="21"/>
        </w:numPr>
        <w:jc w:val="both"/>
        <w:rPr>
          <w:b/>
          <w:bCs/>
        </w:rPr>
      </w:pPr>
      <w:r>
        <w:rPr>
          <w:b/>
          <w:bCs/>
        </w:rPr>
        <w:t>Active Enrollment Services</w:t>
      </w:r>
    </w:p>
    <w:p w14:paraId="5AA0E986" w14:textId="0E84BDDB" w:rsidR="00A632C8" w:rsidRPr="00034C2F" w:rsidRDefault="00A632C8" w:rsidP="00A632C8">
      <w:pPr>
        <w:pStyle w:val="ListParagraph"/>
        <w:ind w:left="360"/>
        <w:jc w:val="both"/>
        <w:rPr>
          <w:b/>
          <w:bCs/>
        </w:rPr>
      </w:pPr>
      <w:r>
        <w:t>The Contractor must provide the following active enrollment services to SCSEP Participants throughout their community service assignment.</w:t>
      </w:r>
    </w:p>
    <w:p w14:paraId="6A2BA952" w14:textId="77777777" w:rsidR="00A632C8" w:rsidRPr="00034C2F" w:rsidRDefault="00A632C8" w:rsidP="00A632C8">
      <w:pPr>
        <w:pStyle w:val="ListParagraph"/>
        <w:ind w:left="360"/>
        <w:jc w:val="both"/>
        <w:rPr>
          <w:b/>
          <w:bCs/>
        </w:rPr>
      </w:pPr>
    </w:p>
    <w:p w14:paraId="280BA15B" w14:textId="77777777" w:rsidR="00A632C8" w:rsidRDefault="00A632C8" w:rsidP="00007DE4">
      <w:pPr>
        <w:pStyle w:val="ListParagraph"/>
        <w:numPr>
          <w:ilvl w:val="1"/>
          <w:numId w:val="21"/>
        </w:numPr>
        <w:jc w:val="both"/>
        <w:rPr>
          <w:b/>
          <w:bCs/>
        </w:rPr>
      </w:pPr>
      <w:r>
        <w:rPr>
          <w:b/>
          <w:bCs/>
        </w:rPr>
        <w:t>Community Service Assignment (CSA) Placement</w:t>
      </w:r>
    </w:p>
    <w:p w14:paraId="6139EF7B" w14:textId="56E358C8" w:rsidR="00A632C8" w:rsidRPr="00034C2F" w:rsidRDefault="00A632C8" w:rsidP="00A632C8">
      <w:pPr>
        <w:pStyle w:val="ListParagraph"/>
        <w:ind w:left="792"/>
        <w:jc w:val="both"/>
        <w:rPr>
          <w:b/>
          <w:bCs/>
        </w:rPr>
      </w:pPr>
      <w:r>
        <w:t>The Contractor must place each Participant in a Community Service Assignment (CSA) consistent with the Participant's IEP employment goal and assessed skills, at a qualifying public agency or non-profit organization. Requirements include:</w:t>
      </w:r>
    </w:p>
    <w:p w14:paraId="06A53035" w14:textId="77777777" w:rsidR="00A632C8" w:rsidRDefault="00A632C8" w:rsidP="00A632C8">
      <w:pPr>
        <w:pStyle w:val="ListParagraph"/>
        <w:ind w:left="792"/>
        <w:jc w:val="both"/>
      </w:pPr>
    </w:p>
    <w:p w14:paraId="0A3711A9" w14:textId="0C66866B" w:rsidR="00A632C8" w:rsidRDefault="00A632C8" w:rsidP="00007DE4">
      <w:pPr>
        <w:pStyle w:val="ListParagraph"/>
        <w:numPr>
          <w:ilvl w:val="2"/>
          <w:numId w:val="21"/>
        </w:numPr>
        <w:ind w:left="1350" w:hanging="630"/>
        <w:jc w:val="both"/>
      </w:pPr>
      <w:r>
        <w:t>Identify and develop CSA sites that align with the Participant's IEP employment goal, assessed skills, and training needs;</w:t>
      </w:r>
    </w:p>
    <w:p w14:paraId="4D9E2537" w14:textId="77777777" w:rsidR="00063739" w:rsidRDefault="00063739" w:rsidP="00063739">
      <w:pPr>
        <w:pStyle w:val="ListParagraph"/>
        <w:ind w:left="1350"/>
        <w:jc w:val="both"/>
      </w:pPr>
    </w:p>
    <w:p w14:paraId="7DAD40E8" w14:textId="25C6AA57" w:rsidR="00A632C8" w:rsidRDefault="00A632C8" w:rsidP="00007DE4">
      <w:pPr>
        <w:pStyle w:val="ListParagraph"/>
        <w:numPr>
          <w:ilvl w:val="2"/>
          <w:numId w:val="21"/>
        </w:numPr>
        <w:ind w:left="1350" w:hanging="630"/>
        <w:jc w:val="both"/>
      </w:pPr>
      <w:r>
        <w:t>Conduct Host Agency screening and interviews to match Participants with appropriate assignments;</w:t>
      </w:r>
    </w:p>
    <w:p w14:paraId="60CA1150" w14:textId="77777777" w:rsidR="00063739" w:rsidRDefault="00063739" w:rsidP="00063739">
      <w:pPr>
        <w:pStyle w:val="ListParagraph"/>
        <w:ind w:left="1350"/>
        <w:jc w:val="both"/>
      </w:pPr>
    </w:p>
    <w:p w14:paraId="7A9FED2D" w14:textId="77777777" w:rsidR="00A632C8" w:rsidRDefault="00A632C8" w:rsidP="00007DE4">
      <w:pPr>
        <w:pStyle w:val="ListParagraph"/>
        <w:numPr>
          <w:ilvl w:val="2"/>
          <w:numId w:val="21"/>
        </w:numPr>
        <w:ind w:left="1350" w:hanging="630"/>
        <w:jc w:val="both"/>
      </w:pPr>
      <w:r>
        <w:t>Ensure each CSA involves work that provides genuine training value and leads to skills transferable to unsubsidized employment;</w:t>
      </w:r>
    </w:p>
    <w:p w14:paraId="01C588B8" w14:textId="77777777" w:rsidR="00063739" w:rsidRDefault="00063739" w:rsidP="00063739">
      <w:pPr>
        <w:pStyle w:val="ListParagraph"/>
        <w:ind w:left="1350"/>
        <w:jc w:val="both"/>
      </w:pPr>
    </w:p>
    <w:p w14:paraId="645AE2F0" w14:textId="02DA4241" w:rsidR="00A632C8" w:rsidRDefault="00A632C8" w:rsidP="00007DE4">
      <w:pPr>
        <w:pStyle w:val="ListParagraph"/>
        <w:numPr>
          <w:ilvl w:val="2"/>
          <w:numId w:val="21"/>
        </w:numPr>
        <w:ind w:left="1350" w:hanging="630"/>
        <w:jc w:val="both"/>
      </w:pPr>
      <w:r>
        <w:t>Ensure Participants work an average of 20 hours per week;</w:t>
      </w:r>
    </w:p>
    <w:p w14:paraId="259E25F5" w14:textId="77777777" w:rsidR="00063739" w:rsidRDefault="00063739" w:rsidP="00063739">
      <w:pPr>
        <w:pStyle w:val="ListParagraph"/>
        <w:ind w:left="1350"/>
        <w:jc w:val="both"/>
      </w:pPr>
    </w:p>
    <w:p w14:paraId="0DC0FA51" w14:textId="744D8840" w:rsidR="00A632C8" w:rsidRDefault="00A632C8" w:rsidP="00007DE4">
      <w:pPr>
        <w:pStyle w:val="ListParagraph"/>
        <w:numPr>
          <w:ilvl w:val="2"/>
          <w:numId w:val="21"/>
        </w:numPr>
        <w:ind w:left="1350" w:hanging="630"/>
        <w:jc w:val="both"/>
      </w:pPr>
      <w:r>
        <w:lastRenderedPageBreak/>
        <w:t>Ensure all CSA sites meet maintenance of effort requirements and execute a signed Host Agency Agreement prior to any Participant placement;</w:t>
      </w:r>
    </w:p>
    <w:p w14:paraId="37730D8C" w14:textId="77777777" w:rsidR="00063739" w:rsidRPr="009A7AF3" w:rsidRDefault="00063739" w:rsidP="00063739">
      <w:pPr>
        <w:pStyle w:val="ListParagraph"/>
        <w:ind w:left="1350"/>
        <w:jc w:val="both"/>
      </w:pPr>
    </w:p>
    <w:p w14:paraId="3F4FA2D5" w14:textId="4FA95D7B" w:rsidR="00A632C8" w:rsidRDefault="00A632C8" w:rsidP="00007DE4">
      <w:pPr>
        <w:pStyle w:val="ListParagraph"/>
        <w:numPr>
          <w:ilvl w:val="2"/>
          <w:numId w:val="21"/>
        </w:numPr>
        <w:ind w:left="1350" w:hanging="630"/>
        <w:jc w:val="both"/>
      </w:pPr>
      <w:r>
        <w:t>Monitor Participant performance and Host Agency compliance on an ongoing basis; and</w:t>
      </w:r>
    </w:p>
    <w:p w14:paraId="25E0FFD8" w14:textId="77777777" w:rsidR="00063739" w:rsidRDefault="00063739" w:rsidP="00063739">
      <w:pPr>
        <w:pStyle w:val="ListParagraph"/>
        <w:ind w:left="1350"/>
        <w:jc w:val="both"/>
      </w:pPr>
    </w:p>
    <w:p w14:paraId="6D26A210" w14:textId="07424535" w:rsidR="00A632C8" w:rsidRDefault="00A632C8" w:rsidP="00007DE4">
      <w:pPr>
        <w:pStyle w:val="ListParagraph"/>
        <w:numPr>
          <w:ilvl w:val="2"/>
          <w:numId w:val="21"/>
        </w:numPr>
        <w:ind w:left="1350" w:hanging="630"/>
        <w:jc w:val="both"/>
      </w:pPr>
      <w:r>
        <w:t>When multiple CSA placement options are available and otherwise equally appropriate for a Participant's IEP, the Contractor must give preference to placements in targeted industries including healthcare and social assistance, leisure and hospitality, and other sectors offering transferable skills and employment pathways.</w:t>
      </w:r>
    </w:p>
    <w:p w14:paraId="48012291" w14:textId="77777777" w:rsidR="00063739" w:rsidRDefault="00063739" w:rsidP="00063739">
      <w:pPr>
        <w:pStyle w:val="ListParagraph"/>
        <w:ind w:left="1350"/>
        <w:jc w:val="both"/>
      </w:pPr>
    </w:p>
    <w:p w14:paraId="74930F8A" w14:textId="3699E390" w:rsidR="00322CA4" w:rsidRDefault="00322CA4" w:rsidP="00007DE4">
      <w:pPr>
        <w:pStyle w:val="ListParagraph"/>
        <w:numPr>
          <w:ilvl w:val="2"/>
          <w:numId w:val="21"/>
        </w:numPr>
        <w:ind w:left="1350" w:hanging="630"/>
        <w:jc w:val="both"/>
      </w:pPr>
      <w:r>
        <w:t>The Contractor must report industry placement data in each Quarterly Status Report.</w:t>
      </w:r>
    </w:p>
    <w:p w14:paraId="7E243419" w14:textId="77777777" w:rsidR="00A632C8" w:rsidRDefault="00A632C8" w:rsidP="00A632C8">
      <w:pPr>
        <w:pStyle w:val="ListParagraph"/>
        <w:ind w:left="792"/>
        <w:jc w:val="both"/>
        <w:rPr>
          <w:b/>
          <w:bCs/>
        </w:rPr>
      </w:pPr>
    </w:p>
    <w:p w14:paraId="4DEF9FB0" w14:textId="77777777" w:rsidR="00A632C8" w:rsidRDefault="00A632C8" w:rsidP="00007DE4">
      <w:pPr>
        <w:pStyle w:val="ListParagraph"/>
        <w:numPr>
          <w:ilvl w:val="1"/>
          <w:numId w:val="21"/>
        </w:numPr>
        <w:jc w:val="both"/>
        <w:rPr>
          <w:b/>
          <w:bCs/>
        </w:rPr>
      </w:pPr>
      <w:r>
        <w:rPr>
          <w:b/>
          <w:bCs/>
        </w:rPr>
        <w:t>Counseling and Case Management</w:t>
      </w:r>
    </w:p>
    <w:p w14:paraId="7CCDFF78" w14:textId="1FDF373E" w:rsidR="00A632C8" w:rsidRDefault="00A632C8" w:rsidP="00A632C8">
      <w:pPr>
        <w:pStyle w:val="ListParagraph"/>
        <w:ind w:left="792"/>
        <w:jc w:val="both"/>
      </w:pPr>
      <w:r>
        <w:t>The Contractor must provide ongoing counseling and case management to each Participant throughout their enrollment. Requirements include:</w:t>
      </w:r>
    </w:p>
    <w:p w14:paraId="05CEAB50" w14:textId="77777777" w:rsidR="00A632C8" w:rsidRDefault="00A632C8" w:rsidP="00A632C8">
      <w:pPr>
        <w:pStyle w:val="ListParagraph"/>
        <w:ind w:left="792"/>
        <w:jc w:val="both"/>
      </w:pPr>
    </w:p>
    <w:p w14:paraId="648ED455" w14:textId="122DB492" w:rsidR="00A632C8" w:rsidRDefault="00A632C8" w:rsidP="00007DE4">
      <w:pPr>
        <w:pStyle w:val="ListParagraph"/>
        <w:numPr>
          <w:ilvl w:val="2"/>
          <w:numId w:val="21"/>
        </w:numPr>
        <w:ind w:left="1350" w:hanging="630"/>
        <w:jc w:val="both"/>
      </w:pPr>
      <w:r>
        <w:t>Maintain at least monthly contact with each Participant to monitor progress toward IEP goals, address barriers, and adjust the plan as needed;</w:t>
      </w:r>
    </w:p>
    <w:p w14:paraId="5938E628" w14:textId="77777777" w:rsidR="008C096B" w:rsidRDefault="008C096B" w:rsidP="008C096B">
      <w:pPr>
        <w:pStyle w:val="ListParagraph"/>
        <w:ind w:left="1350"/>
        <w:jc w:val="both"/>
      </w:pPr>
    </w:p>
    <w:p w14:paraId="5674AA87" w14:textId="77777777" w:rsidR="00A632C8" w:rsidRDefault="00A632C8" w:rsidP="00007DE4">
      <w:pPr>
        <w:pStyle w:val="ListParagraph"/>
        <w:numPr>
          <w:ilvl w:val="2"/>
          <w:numId w:val="21"/>
        </w:numPr>
        <w:ind w:left="1350" w:hanging="630"/>
        <w:jc w:val="both"/>
      </w:pPr>
      <w:r>
        <w:t>Provide supportive services to address barriers to employment (e.g., transportation assistance, work-related clothing, tools), within available funding; and</w:t>
      </w:r>
    </w:p>
    <w:p w14:paraId="6A974CFA" w14:textId="77777777" w:rsidR="008C096B" w:rsidRDefault="008C096B" w:rsidP="008C096B">
      <w:pPr>
        <w:pStyle w:val="ListParagraph"/>
        <w:ind w:left="1350"/>
        <w:jc w:val="both"/>
      </w:pPr>
    </w:p>
    <w:p w14:paraId="54BEDB3A" w14:textId="6823F4FC" w:rsidR="00A632C8" w:rsidRDefault="00A632C8" w:rsidP="00007DE4">
      <w:pPr>
        <w:pStyle w:val="ListParagraph"/>
        <w:numPr>
          <w:ilvl w:val="2"/>
          <w:numId w:val="21"/>
        </w:numPr>
        <w:ind w:left="1350" w:hanging="630"/>
        <w:jc w:val="both"/>
      </w:pPr>
      <w:r>
        <w:t>Document all case management activities, Participant contacts, and services provided in case notes and in GPMS.</w:t>
      </w:r>
    </w:p>
    <w:p w14:paraId="38ED2646" w14:textId="77777777" w:rsidR="00A632C8" w:rsidRPr="007A6721" w:rsidRDefault="00A632C8" w:rsidP="00A632C8">
      <w:pPr>
        <w:jc w:val="both"/>
        <w:rPr>
          <w:b/>
          <w:bCs/>
        </w:rPr>
      </w:pPr>
    </w:p>
    <w:p w14:paraId="7CE21BF9" w14:textId="77777777" w:rsidR="00A632C8" w:rsidRDefault="00A632C8" w:rsidP="00007DE4">
      <w:pPr>
        <w:pStyle w:val="ListParagraph"/>
        <w:numPr>
          <w:ilvl w:val="1"/>
          <w:numId w:val="21"/>
        </w:numPr>
        <w:jc w:val="both"/>
        <w:rPr>
          <w:b/>
          <w:bCs/>
        </w:rPr>
      </w:pPr>
      <w:r>
        <w:rPr>
          <w:b/>
          <w:bCs/>
        </w:rPr>
        <w:t>Recertification</w:t>
      </w:r>
    </w:p>
    <w:p w14:paraId="095829C7" w14:textId="18A1BC3C" w:rsidR="00A632C8" w:rsidRPr="00AB399F" w:rsidRDefault="00A632C8" w:rsidP="00A632C8">
      <w:pPr>
        <w:pStyle w:val="ListParagraph"/>
        <w:ind w:left="792"/>
        <w:jc w:val="both"/>
      </w:pPr>
      <w:r>
        <w:t>The Contractor must recertify each Participant's eligibility on an annual basis, or more frequently if there is a substantial change in the Participant's circumstances. If a Participant is determined to be no longer eligible at recertification, the Contractor must:</w:t>
      </w:r>
    </w:p>
    <w:p w14:paraId="164776C3" w14:textId="77777777" w:rsidR="00A632C8" w:rsidRPr="00AB399F" w:rsidRDefault="00A632C8" w:rsidP="00A632C8">
      <w:pPr>
        <w:pStyle w:val="ListParagraph"/>
        <w:ind w:left="792"/>
        <w:jc w:val="both"/>
      </w:pPr>
    </w:p>
    <w:p w14:paraId="4EA3C48C" w14:textId="312348C5" w:rsidR="00A632C8" w:rsidRDefault="00A632C8" w:rsidP="00007DE4">
      <w:pPr>
        <w:pStyle w:val="ListParagraph"/>
        <w:numPr>
          <w:ilvl w:val="2"/>
          <w:numId w:val="21"/>
        </w:numPr>
        <w:ind w:left="1350" w:hanging="630"/>
        <w:jc w:val="both"/>
      </w:pPr>
      <w:r>
        <w:t>Notify the Participant in writing and provide a 30-day notice of termination;</w:t>
      </w:r>
    </w:p>
    <w:p w14:paraId="54E2986B" w14:textId="77777777" w:rsidR="00063739" w:rsidRPr="00AB399F" w:rsidRDefault="00063739" w:rsidP="00063739">
      <w:pPr>
        <w:pStyle w:val="ListParagraph"/>
        <w:ind w:left="1350"/>
        <w:jc w:val="both"/>
      </w:pPr>
    </w:p>
    <w:p w14:paraId="7BB8010D" w14:textId="1A93882F" w:rsidR="00A632C8" w:rsidRDefault="00A632C8" w:rsidP="00007DE4">
      <w:pPr>
        <w:pStyle w:val="ListParagraph"/>
        <w:numPr>
          <w:ilvl w:val="2"/>
          <w:numId w:val="21"/>
        </w:numPr>
        <w:ind w:left="1350" w:hanging="630"/>
        <w:jc w:val="both"/>
      </w:pPr>
      <w:r>
        <w:t>Inform the Participant of their right to appeal through ICOA's grievance procedure; and</w:t>
      </w:r>
    </w:p>
    <w:p w14:paraId="18087622" w14:textId="77777777" w:rsidR="00063739" w:rsidRPr="00AB399F" w:rsidRDefault="00063739" w:rsidP="00063739">
      <w:pPr>
        <w:pStyle w:val="ListParagraph"/>
        <w:ind w:left="1350"/>
        <w:jc w:val="both"/>
      </w:pPr>
    </w:p>
    <w:p w14:paraId="5D0D59E4" w14:textId="20F37E92" w:rsidR="00A632C8" w:rsidRPr="00AB399F" w:rsidRDefault="00A632C8" w:rsidP="00007DE4">
      <w:pPr>
        <w:pStyle w:val="ListParagraph"/>
        <w:numPr>
          <w:ilvl w:val="2"/>
          <w:numId w:val="21"/>
        </w:numPr>
        <w:ind w:left="1350" w:hanging="630"/>
        <w:jc w:val="both"/>
      </w:pPr>
      <w:r>
        <w:t>Document the recertification determination and outcome in GPMS and the Participant's file.</w:t>
      </w:r>
    </w:p>
    <w:p w14:paraId="643E5791" w14:textId="77777777" w:rsidR="00A632C8" w:rsidRDefault="00A632C8" w:rsidP="00A632C8">
      <w:pPr>
        <w:pStyle w:val="ListParagraph"/>
        <w:ind w:left="792"/>
        <w:jc w:val="both"/>
        <w:rPr>
          <w:b/>
          <w:bCs/>
        </w:rPr>
      </w:pPr>
    </w:p>
    <w:p w14:paraId="46B24A6A" w14:textId="77777777" w:rsidR="00A632C8" w:rsidRPr="00AB399F" w:rsidRDefault="00A632C8" w:rsidP="00007DE4">
      <w:pPr>
        <w:pStyle w:val="ListParagraph"/>
        <w:numPr>
          <w:ilvl w:val="1"/>
          <w:numId w:val="21"/>
        </w:numPr>
        <w:jc w:val="both"/>
        <w:rPr>
          <w:b/>
          <w:bCs/>
        </w:rPr>
      </w:pPr>
      <w:r>
        <w:rPr>
          <w:b/>
          <w:bCs/>
        </w:rPr>
        <w:t>Durational Limit Management</w:t>
      </w:r>
    </w:p>
    <w:p w14:paraId="40DD9E32" w14:textId="3E2CC801" w:rsidR="00A632C8" w:rsidRDefault="00A632C8" w:rsidP="00A632C8">
      <w:pPr>
        <w:pStyle w:val="ListParagraph"/>
        <w:ind w:left="792"/>
        <w:jc w:val="both"/>
      </w:pPr>
      <w:r>
        <w:t>The Contractor must actively manage Participant durational limits in accordance with ICOA's Durational Limits Policy (Policy # SCSEP-10/2018-D0525). Key requirements include:</w:t>
      </w:r>
    </w:p>
    <w:p w14:paraId="110ACE44" w14:textId="77777777" w:rsidR="00A632C8" w:rsidRDefault="00A632C8" w:rsidP="00A632C8">
      <w:pPr>
        <w:pStyle w:val="ListParagraph"/>
        <w:ind w:left="792"/>
        <w:jc w:val="both"/>
      </w:pPr>
    </w:p>
    <w:p w14:paraId="6697C1F8" w14:textId="7581E5DA" w:rsidR="00A632C8" w:rsidRDefault="00A632C8" w:rsidP="00007DE4">
      <w:pPr>
        <w:pStyle w:val="ListParagraph"/>
        <w:numPr>
          <w:ilvl w:val="2"/>
          <w:numId w:val="21"/>
        </w:numPr>
        <w:ind w:left="1350" w:hanging="630"/>
        <w:jc w:val="both"/>
      </w:pPr>
      <w:r>
        <w:t>Use GPMS to identify Participants approaching the one-year and six-month marks prior to the 48-month limit;</w:t>
      </w:r>
    </w:p>
    <w:p w14:paraId="40538FFA" w14:textId="77777777" w:rsidR="00063739" w:rsidRDefault="00063739" w:rsidP="00063739">
      <w:pPr>
        <w:pStyle w:val="ListParagraph"/>
        <w:ind w:left="1350"/>
        <w:jc w:val="both"/>
      </w:pPr>
    </w:p>
    <w:p w14:paraId="66F93AEE" w14:textId="467F02AA" w:rsidR="00A632C8" w:rsidRDefault="00A632C8" w:rsidP="00007DE4">
      <w:pPr>
        <w:pStyle w:val="ListParagraph"/>
        <w:numPr>
          <w:ilvl w:val="2"/>
          <w:numId w:val="21"/>
        </w:numPr>
        <w:ind w:left="1350" w:hanging="630"/>
        <w:jc w:val="both"/>
      </w:pPr>
      <w:r>
        <w:t>Notify Participants in writing at one (1) year and again at six (6) months before their durational limit date;</w:t>
      </w:r>
    </w:p>
    <w:p w14:paraId="55A41146" w14:textId="77777777" w:rsidR="00063739" w:rsidRDefault="00063739" w:rsidP="00063739">
      <w:pPr>
        <w:pStyle w:val="ListParagraph"/>
        <w:ind w:left="1350"/>
        <w:jc w:val="both"/>
      </w:pPr>
    </w:p>
    <w:p w14:paraId="0256B5A0" w14:textId="430AA9F9" w:rsidR="00A632C8" w:rsidRDefault="00A632C8" w:rsidP="00007DE4">
      <w:pPr>
        <w:pStyle w:val="ListParagraph"/>
        <w:numPr>
          <w:ilvl w:val="2"/>
          <w:numId w:val="21"/>
        </w:numPr>
        <w:ind w:left="1350" w:hanging="630"/>
        <w:jc w:val="both"/>
      </w:pPr>
      <w:r>
        <w:t>Develop a transition plan with each Participant beginning one year before their limit date and update it at six months and monthly thereafter;</w:t>
      </w:r>
    </w:p>
    <w:p w14:paraId="7A5534A5" w14:textId="77777777" w:rsidR="00063739" w:rsidRDefault="00063739" w:rsidP="00063739">
      <w:pPr>
        <w:pStyle w:val="ListParagraph"/>
        <w:ind w:left="1350"/>
        <w:jc w:val="both"/>
      </w:pPr>
    </w:p>
    <w:p w14:paraId="53826396" w14:textId="2F871978" w:rsidR="00A632C8" w:rsidRDefault="00A632C8" w:rsidP="00007DE4">
      <w:pPr>
        <w:pStyle w:val="ListParagraph"/>
        <w:numPr>
          <w:ilvl w:val="2"/>
          <w:numId w:val="21"/>
        </w:numPr>
        <w:ind w:left="1350" w:hanging="630"/>
        <w:jc w:val="both"/>
      </w:pPr>
      <w:r>
        <w:t>For Participants who may qualify for a one-year waiver extension, submit a documented waiver request to ICOA within two months of the Participant reaching the limit; and</w:t>
      </w:r>
    </w:p>
    <w:p w14:paraId="4FE0D7E1" w14:textId="77777777" w:rsidR="00063739" w:rsidRDefault="00063739" w:rsidP="00063739">
      <w:pPr>
        <w:pStyle w:val="ListParagraph"/>
        <w:ind w:left="1350"/>
        <w:jc w:val="both"/>
      </w:pPr>
    </w:p>
    <w:p w14:paraId="4C334EA1" w14:textId="3B8DF77E" w:rsidR="00A632C8" w:rsidRDefault="00A632C8" w:rsidP="00007DE4">
      <w:pPr>
        <w:pStyle w:val="ListParagraph"/>
        <w:numPr>
          <w:ilvl w:val="2"/>
          <w:numId w:val="21"/>
        </w:numPr>
        <w:ind w:left="1350" w:hanging="630"/>
        <w:jc w:val="both"/>
      </w:pPr>
      <w:r>
        <w:t>Issue a thirty (30) day termination letter for all Participants who do not qualify for a waiver extension.</w:t>
      </w:r>
    </w:p>
    <w:p w14:paraId="144CB95D" w14:textId="77777777" w:rsidR="00C03657" w:rsidRDefault="00C03657" w:rsidP="00C03657">
      <w:pPr>
        <w:pStyle w:val="ListParagraph"/>
        <w:ind w:left="1350"/>
        <w:jc w:val="both"/>
      </w:pPr>
    </w:p>
    <w:p w14:paraId="675C5EDC" w14:textId="77777777" w:rsidR="00A632C8" w:rsidRDefault="00A632C8" w:rsidP="00007DE4">
      <w:pPr>
        <w:pStyle w:val="ListParagraph"/>
        <w:numPr>
          <w:ilvl w:val="0"/>
          <w:numId w:val="21"/>
        </w:numPr>
        <w:jc w:val="both"/>
      </w:pPr>
      <w:r>
        <w:rPr>
          <w:b/>
          <w:bCs/>
        </w:rPr>
        <w:lastRenderedPageBreak/>
        <w:t>Employment Transition and Exit</w:t>
      </w:r>
    </w:p>
    <w:p w14:paraId="5DB01F19" w14:textId="052B4320" w:rsidR="00A632C8" w:rsidRDefault="00A632C8" w:rsidP="00A632C8">
      <w:pPr>
        <w:pStyle w:val="ListParagraph"/>
        <w:ind w:left="360"/>
        <w:jc w:val="both"/>
      </w:pPr>
      <w:r>
        <w:t>The Contractor must actively support Participants in transitioning to unsubsidized employment and conduct all required follow-up activities.</w:t>
      </w:r>
    </w:p>
    <w:p w14:paraId="48A5E19E" w14:textId="77777777" w:rsidR="00A632C8" w:rsidRDefault="00A632C8" w:rsidP="00A632C8">
      <w:pPr>
        <w:pStyle w:val="ListParagraph"/>
        <w:ind w:left="792"/>
        <w:jc w:val="both"/>
        <w:rPr>
          <w:b/>
          <w:bCs/>
        </w:rPr>
      </w:pPr>
    </w:p>
    <w:p w14:paraId="1ECD3494" w14:textId="77777777" w:rsidR="00A632C8" w:rsidRPr="00AB399F" w:rsidRDefault="00A632C8" w:rsidP="00007DE4">
      <w:pPr>
        <w:pStyle w:val="ListParagraph"/>
        <w:numPr>
          <w:ilvl w:val="1"/>
          <w:numId w:val="21"/>
        </w:numPr>
        <w:jc w:val="both"/>
        <w:rPr>
          <w:b/>
          <w:bCs/>
        </w:rPr>
      </w:pPr>
      <w:r>
        <w:rPr>
          <w:b/>
          <w:bCs/>
        </w:rPr>
        <w:t>Job Search and Placement Assistance</w:t>
      </w:r>
    </w:p>
    <w:p w14:paraId="4166E4DD" w14:textId="076F2134" w:rsidR="00A632C8" w:rsidRDefault="00A632C8" w:rsidP="00A632C8">
      <w:pPr>
        <w:pStyle w:val="ListParagraph"/>
        <w:ind w:left="792"/>
        <w:jc w:val="both"/>
      </w:pPr>
      <w:r>
        <w:t>The Contractor must actively support Participants in transitioning to unsubsidized employment. Requirements include:</w:t>
      </w:r>
    </w:p>
    <w:p w14:paraId="2366B69F" w14:textId="77777777" w:rsidR="00A632C8" w:rsidRDefault="00A632C8" w:rsidP="00A632C8">
      <w:pPr>
        <w:pStyle w:val="ListParagraph"/>
        <w:ind w:left="792"/>
        <w:jc w:val="both"/>
      </w:pPr>
    </w:p>
    <w:p w14:paraId="3678BE6A" w14:textId="77777777" w:rsidR="00A632C8" w:rsidRDefault="00A632C8" w:rsidP="00007DE4">
      <w:pPr>
        <w:pStyle w:val="ListParagraph"/>
        <w:numPr>
          <w:ilvl w:val="2"/>
          <w:numId w:val="21"/>
        </w:numPr>
        <w:ind w:left="1350" w:hanging="630"/>
        <w:jc w:val="both"/>
      </w:pPr>
      <w:r>
        <w:t>Provide job search assistance, resume development support, and interview preparation;</w:t>
      </w:r>
    </w:p>
    <w:p w14:paraId="05E583C6" w14:textId="77777777" w:rsidR="00063739" w:rsidRDefault="00063739" w:rsidP="00063739">
      <w:pPr>
        <w:pStyle w:val="ListParagraph"/>
        <w:ind w:left="1350"/>
        <w:jc w:val="both"/>
      </w:pPr>
    </w:p>
    <w:p w14:paraId="512DBB61" w14:textId="7F6DF955" w:rsidR="00A632C8" w:rsidRDefault="00A632C8" w:rsidP="00007DE4">
      <w:pPr>
        <w:pStyle w:val="ListParagraph"/>
        <w:numPr>
          <w:ilvl w:val="2"/>
          <w:numId w:val="21"/>
        </w:numPr>
        <w:ind w:left="1350" w:hanging="630"/>
        <w:jc w:val="both"/>
      </w:pPr>
      <w:r>
        <w:t>Develop employer relationships and job leads for Participants;</w:t>
      </w:r>
    </w:p>
    <w:p w14:paraId="156E6F78" w14:textId="77777777" w:rsidR="00063739" w:rsidRDefault="00063739" w:rsidP="00063739">
      <w:pPr>
        <w:pStyle w:val="ListParagraph"/>
        <w:ind w:left="1350"/>
        <w:jc w:val="both"/>
      </w:pPr>
    </w:p>
    <w:p w14:paraId="627A4E08" w14:textId="47BF82BE" w:rsidR="00A632C8" w:rsidRDefault="00A632C8" w:rsidP="00007DE4">
      <w:pPr>
        <w:pStyle w:val="ListParagraph"/>
        <w:numPr>
          <w:ilvl w:val="2"/>
          <w:numId w:val="21"/>
        </w:numPr>
        <w:ind w:left="1350" w:hanging="630"/>
        <w:jc w:val="both"/>
      </w:pPr>
      <w:r>
        <w:t>Refer Participants to appropriate workforce resources, including American Job Centers and WIOA services; and</w:t>
      </w:r>
    </w:p>
    <w:p w14:paraId="34048E1A" w14:textId="77777777" w:rsidR="00063739" w:rsidRDefault="00063739" w:rsidP="00063739">
      <w:pPr>
        <w:pStyle w:val="ListParagraph"/>
        <w:ind w:left="1350"/>
        <w:jc w:val="both"/>
      </w:pPr>
    </w:p>
    <w:p w14:paraId="091061ED" w14:textId="77777777" w:rsidR="00A632C8" w:rsidRDefault="00A632C8" w:rsidP="00007DE4">
      <w:pPr>
        <w:pStyle w:val="ListParagraph"/>
        <w:numPr>
          <w:ilvl w:val="2"/>
          <w:numId w:val="21"/>
        </w:numPr>
        <w:ind w:left="1350" w:hanging="630"/>
        <w:jc w:val="both"/>
      </w:pPr>
      <w:r>
        <w:t>Document job development and employer engagement activities in case notes and GPMS.</w:t>
      </w:r>
    </w:p>
    <w:p w14:paraId="54896C7B" w14:textId="77777777" w:rsidR="00A632C8" w:rsidRDefault="00A632C8" w:rsidP="00A632C8">
      <w:pPr>
        <w:pStyle w:val="ListParagraph"/>
        <w:ind w:left="792"/>
        <w:jc w:val="both"/>
        <w:rPr>
          <w:b/>
          <w:bCs/>
        </w:rPr>
      </w:pPr>
    </w:p>
    <w:p w14:paraId="28C318FE" w14:textId="77777777" w:rsidR="000C799E" w:rsidRDefault="000C799E" w:rsidP="00A632C8">
      <w:pPr>
        <w:pStyle w:val="ListParagraph"/>
        <w:ind w:left="792"/>
        <w:jc w:val="both"/>
        <w:rPr>
          <w:b/>
          <w:bCs/>
        </w:rPr>
      </w:pPr>
    </w:p>
    <w:p w14:paraId="37138B0B" w14:textId="77777777" w:rsidR="00A632C8" w:rsidRDefault="00A632C8" w:rsidP="00007DE4">
      <w:pPr>
        <w:pStyle w:val="ListParagraph"/>
        <w:numPr>
          <w:ilvl w:val="1"/>
          <w:numId w:val="21"/>
        </w:numPr>
        <w:ind w:left="900" w:hanging="540"/>
        <w:jc w:val="both"/>
        <w:rPr>
          <w:b/>
          <w:bCs/>
        </w:rPr>
      </w:pPr>
      <w:r>
        <w:rPr>
          <w:b/>
          <w:bCs/>
        </w:rPr>
        <w:t>Follow-Up Services</w:t>
      </w:r>
    </w:p>
    <w:p w14:paraId="03C9EF1B" w14:textId="510A3396" w:rsidR="00A632C8" w:rsidRDefault="00A632C8" w:rsidP="00A632C8">
      <w:pPr>
        <w:pStyle w:val="ListParagraph"/>
        <w:ind w:left="900"/>
        <w:jc w:val="both"/>
      </w:pPr>
      <w:r>
        <w:t>The Contractor must conduct follow-up contacts with all Participants who exit to unsubsidized employment. Requirements include:</w:t>
      </w:r>
    </w:p>
    <w:p w14:paraId="74E68492" w14:textId="77777777" w:rsidR="00A632C8" w:rsidRDefault="00A632C8" w:rsidP="00A632C8">
      <w:pPr>
        <w:pStyle w:val="ListParagraph"/>
        <w:ind w:left="792"/>
        <w:jc w:val="both"/>
      </w:pPr>
    </w:p>
    <w:p w14:paraId="4A78C3DC" w14:textId="698FFC77" w:rsidR="00A632C8" w:rsidRDefault="00711A0F" w:rsidP="00007DE4">
      <w:pPr>
        <w:pStyle w:val="ListParagraph"/>
        <w:numPr>
          <w:ilvl w:val="2"/>
          <w:numId w:val="21"/>
        </w:numPr>
        <w:jc w:val="both"/>
      </w:pPr>
      <w:r>
        <w:t xml:space="preserve">     Complete required follow-up contacts within the timeframes specified in GPMS;</w:t>
      </w:r>
    </w:p>
    <w:p w14:paraId="78637539" w14:textId="77777777" w:rsidR="000C799E" w:rsidRDefault="000C799E" w:rsidP="000C799E">
      <w:pPr>
        <w:pStyle w:val="ListParagraph"/>
        <w:ind w:left="1224"/>
        <w:jc w:val="both"/>
      </w:pPr>
    </w:p>
    <w:p w14:paraId="15FE9B47" w14:textId="6CF027F3" w:rsidR="00A632C8" w:rsidRDefault="00A632C8" w:rsidP="00007DE4">
      <w:pPr>
        <w:pStyle w:val="ListParagraph"/>
        <w:numPr>
          <w:ilvl w:val="2"/>
          <w:numId w:val="21"/>
        </w:numPr>
        <w:ind w:left="1440" w:hanging="720"/>
        <w:jc w:val="both"/>
      </w:pPr>
      <w:r>
        <w:t>Document the Participant's employment status and wage information at the follow-up points required for performance measure tracking (2nd quarter and 4th quarter post-exit);</w:t>
      </w:r>
    </w:p>
    <w:p w14:paraId="75F79080" w14:textId="77777777" w:rsidR="00063739" w:rsidRDefault="00063739" w:rsidP="00063739">
      <w:pPr>
        <w:pStyle w:val="ListParagraph"/>
        <w:ind w:left="1440"/>
        <w:jc w:val="both"/>
      </w:pPr>
    </w:p>
    <w:p w14:paraId="6397A9CA" w14:textId="77777777" w:rsidR="00A632C8" w:rsidRDefault="00A632C8" w:rsidP="00007DE4">
      <w:pPr>
        <w:pStyle w:val="ListParagraph"/>
        <w:numPr>
          <w:ilvl w:val="2"/>
          <w:numId w:val="21"/>
        </w:numPr>
        <w:ind w:left="1440" w:hanging="720"/>
        <w:jc w:val="both"/>
      </w:pPr>
      <w:r>
        <w:t>Enter all follow-up data into GPMS accurately and on time; and</w:t>
      </w:r>
    </w:p>
    <w:p w14:paraId="118D6EDE" w14:textId="77777777" w:rsidR="00063739" w:rsidRDefault="00063739" w:rsidP="00063739">
      <w:pPr>
        <w:pStyle w:val="ListParagraph"/>
        <w:ind w:left="1440"/>
        <w:jc w:val="both"/>
      </w:pPr>
    </w:p>
    <w:p w14:paraId="4C5990A9" w14:textId="77777777" w:rsidR="00A632C8" w:rsidRDefault="00A632C8" w:rsidP="00007DE4">
      <w:pPr>
        <w:pStyle w:val="ListParagraph"/>
        <w:numPr>
          <w:ilvl w:val="2"/>
          <w:numId w:val="21"/>
        </w:numPr>
        <w:ind w:left="1440" w:hanging="720"/>
        <w:jc w:val="both"/>
      </w:pPr>
      <w:r>
        <w:t>Clear all pending follow-up flags in GPMS prior to each quarter-end.</w:t>
      </w:r>
    </w:p>
    <w:p w14:paraId="230F7AEA" w14:textId="77777777" w:rsidR="00A632C8" w:rsidRDefault="00A632C8" w:rsidP="00A632C8">
      <w:pPr>
        <w:pStyle w:val="ListParagraph"/>
        <w:ind w:left="1224"/>
        <w:jc w:val="both"/>
      </w:pPr>
    </w:p>
    <w:p w14:paraId="23EB1C7B" w14:textId="40703E1F" w:rsidR="00A632C8" w:rsidRPr="00034756" w:rsidRDefault="00D843DD" w:rsidP="00007DE4">
      <w:pPr>
        <w:pStyle w:val="ListParagraph"/>
        <w:numPr>
          <w:ilvl w:val="0"/>
          <w:numId w:val="21"/>
        </w:numPr>
        <w:jc w:val="both"/>
        <w:rPr>
          <w:b/>
          <w:bCs/>
        </w:rPr>
      </w:pPr>
      <w:r>
        <w:rPr>
          <w:b/>
          <w:bCs/>
        </w:rPr>
        <w:t>Participant Rights and Compliance</w:t>
      </w:r>
    </w:p>
    <w:p w14:paraId="0DB05A60" w14:textId="42EA1412" w:rsidR="00A632C8" w:rsidRPr="00034756" w:rsidRDefault="00A632C8" w:rsidP="00A632C8">
      <w:pPr>
        <w:pStyle w:val="ListParagraph"/>
        <w:ind w:left="360"/>
        <w:jc w:val="both"/>
        <w:rPr>
          <w:b/>
          <w:bCs/>
        </w:rPr>
      </w:pPr>
      <w:r>
        <w:t>The Contractor must administer the following Participant rights and compliance processes in accordance with ICOA-approved policies.</w:t>
      </w:r>
    </w:p>
    <w:p w14:paraId="4187D77D" w14:textId="77777777" w:rsidR="00A632C8" w:rsidRDefault="00A632C8" w:rsidP="00A632C8">
      <w:pPr>
        <w:pStyle w:val="ListParagraph"/>
        <w:ind w:left="900"/>
        <w:jc w:val="both"/>
        <w:rPr>
          <w:b/>
          <w:bCs/>
        </w:rPr>
      </w:pPr>
    </w:p>
    <w:p w14:paraId="13629C3F" w14:textId="0708348A" w:rsidR="00A632C8" w:rsidRPr="00AB4917" w:rsidRDefault="00D843DD" w:rsidP="00007DE4">
      <w:pPr>
        <w:pStyle w:val="ListParagraph"/>
        <w:numPr>
          <w:ilvl w:val="1"/>
          <w:numId w:val="21"/>
        </w:numPr>
        <w:ind w:left="900" w:hanging="540"/>
        <w:jc w:val="both"/>
        <w:rPr>
          <w:b/>
          <w:bCs/>
        </w:rPr>
      </w:pPr>
      <w:r>
        <w:rPr>
          <w:b/>
          <w:bCs/>
        </w:rPr>
        <w:t>Participant Termination</w:t>
      </w:r>
    </w:p>
    <w:p w14:paraId="4910DB74" w14:textId="4CD24893" w:rsidR="00A632C8" w:rsidRDefault="00A632C8" w:rsidP="00A632C8">
      <w:pPr>
        <w:pStyle w:val="ListParagraph"/>
        <w:ind w:left="900"/>
        <w:jc w:val="both"/>
      </w:pPr>
      <w:r>
        <w:t>The Contractor must follow ICOA's Participant Termination Policy (Policy # SCSEP-2018-T0817) for all involuntary terminations. The Contractor must:</w:t>
      </w:r>
    </w:p>
    <w:p w14:paraId="26BFBE52" w14:textId="77777777" w:rsidR="00A632C8" w:rsidRDefault="00A632C8" w:rsidP="00A632C8">
      <w:pPr>
        <w:pStyle w:val="ListParagraph"/>
        <w:ind w:left="792"/>
        <w:jc w:val="both"/>
      </w:pPr>
    </w:p>
    <w:p w14:paraId="24F506B7" w14:textId="77777777" w:rsidR="00A632C8" w:rsidRDefault="00A632C8" w:rsidP="00007DE4">
      <w:pPr>
        <w:pStyle w:val="ListParagraph"/>
        <w:numPr>
          <w:ilvl w:val="2"/>
          <w:numId w:val="21"/>
        </w:numPr>
        <w:ind w:left="1440" w:hanging="720"/>
        <w:jc w:val="both"/>
      </w:pPr>
      <w:r>
        <w:t>Apply progressive discipline procedures before issuing termination notices, except in cases of serious misconduct requiring immediate removal;</w:t>
      </w:r>
    </w:p>
    <w:p w14:paraId="129BB8C3" w14:textId="77777777" w:rsidR="00063739" w:rsidRDefault="00063739" w:rsidP="00063739">
      <w:pPr>
        <w:pStyle w:val="ListParagraph"/>
        <w:ind w:left="1440"/>
        <w:jc w:val="both"/>
      </w:pPr>
    </w:p>
    <w:p w14:paraId="670F536D" w14:textId="6AFD519E" w:rsidR="00A632C8" w:rsidRDefault="00A632C8" w:rsidP="00007DE4">
      <w:pPr>
        <w:pStyle w:val="ListParagraph"/>
        <w:numPr>
          <w:ilvl w:val="2"/>
          <w:numId w:val="21"/>
        </w:numPr>
        <w:ind w:left="1440" w:hanging="720"/>
        <w:jc w:val="both"/>
      </w:pPr>
      <w:r>
        <w:t>Provide all Participants with a written 30-day termination notice that states the reason for termination and their right to appeal under ICOA's grievance procedure; and</w:t>
      </w:r>
    </w:p>
    <w:p w14:paraId="0E1821DC" w14:textId="77777777" w:rsidR="00063739" w:rsidRDefault="00063739" w:rsidP="00063739">
      <w:pPr>
        <w:pStyle w:val="ListParagraph"/>
        <w:ind w:left="1440"/>
        <w:jc w:val="both"/>
      </w:pPr>
    </w:p>
    <w:p w14:paraId="5200583C" w14:textId="5BB71035" w:rsidR="00A632C8" w:rsidRPr="007A6721" w:rsidRDefault="00A632C8" w:rsidP="00007DE4">
      <w:pPr>
        <w:pStyle w:val="ListParagraph"/>
        <w:numPr>
          <w:ilvl w:val="2"/>
          <w:numId w:val="21"/>
        </w:numPr>
        <w:ind w:left="1440" w:hanging="720"/>
        <w:jc w:val="both"/>
      </w:pPr>
      <w:r>
        <w:t>Document all termination actions in GPMS and the Participant's file.</w:t>
      </w:r>
    </w:p>
    <w:p w14:paraId="7245D541" w14:textId="77777777" w:rsidR="00A632C8" w:rsidRDefault="00A632C8" w:rsidP="00A632C8">
      <w:pPr>
        <w:pStyle w:val="ListParagraph"/>
        <w:ind w:left="900"/>
        <w:jc w:val="both"/>
        <w:rPr>
          <w:b/>
          <w:bCs/>
        </w:rPr>
      </w:pPr>
    </w:p>
    <w:p w14:paraId="7C13082F" w14:textId="250EAE12" w:rsidR="00A632C8" w:rsidRPr="00AB4917" w:rsidRDefault="00D843DD" w:rsidP="00007DE4">
      <w:pPr>
        <w:pStyle w:val="ListParagraph"/>
        <w:numPr>
          <w:ilvl w:val="1"/>
          <w:numId w:val="21"/>
        </w:numPr>
        <w:ind w:left="900" w:hanging="540"/>
        <w:jc w:val="both"/>
        <w:rPr>
          <w:b/>
          <w:bCs/>
        </w:rPr>
      </w:pPr>
      <w:r>
        <w:rPr>
          <w:b/>
          <w:bCs/>
        </w:rPr>
        <w:t>Participant Grievances</w:t>
      </w:r>
    </w:p>
    <w:p w14:paraId="012DF0BC" w14:textId="79C8F6FE" w:rsidR="00A632C8" w:rsidRDefault="00A632C8" w:rsidP="00A632C8">
      <w:pPr>
        <w:pStyle w:val="ListParagraph"/>
        <w:ind w:left="900"/>
        <w:jc w:val="both"/>
      </w:pPr>
      <w:r>
        <w:t>The Contractor must implement ICOA's Participant Grievance Policy (Policy # SCSEP-2018-G0525). The Contractor must:</w:t>
      </w:r>
    </w:p>
    <w:p w14:paraId="5A7900EF" w14:textId="77777777" w:rsidR="00A632C8" w:rsidRDefault="00A632C8" w:rsidP="00A632C8">
      <w:pPr>
        <w:pStyle w:val="ListParagraph"/>
        <w:ind w:left="900"/>
        <w:jc w:val="both"/>
      </w:pPr>
    </w:p>
    <w:p w14:paraId="6F25CA35" w14:textId="16C3B809" w:rsidR="00A632C8" w:rsidRDefault="00A632C8" w:rsidP="00007DE4">
      <w:pPr>
        <w:pStyle w:val="ListParagraph"/>
        <w:numPr>
          <w:ilvl w:val="2"/>
          <w:numId w:val="21"/>
        </w:numPr>
        <w:ind w:left="1440" w:hanging="720"/>
        <w:jc w:val="both"/>
      </w:pPr>
      <w:r>
        <w:t>Inform all Participants of the grievance procedure at orientation;</w:t>
      </w:r>
    </w:p>
    <w:p w14:paraId="48E25CFC" w14:textId="77777777" w:rsidR="00322CA4" w:rsidRDefault="00322CA4" w:rsidP="00322CA4">
      <w:pPr>
        <w:pStyle w:val="ListParagraph"/>
        <w:ind w:left="1440"/>
        <w:jc w:val="both"/>
      </w:pPr>
    </w:p>
    <w:p w14:paraId="17CB4273" w14:textId="77777777" w:rsidR="00A632C8" w:rsidRDefault="00A632C8" w:rsidP="00007DE4">
      <w:pPr>
        <w:pStyle w:val="ListParagraph"/>
        <w:numPr>
          <w:ilvl w:val="2"/>
          <w:numId w:val="21"/>
        </w:numPr>
        <w:ind w:left="1440" w:hanging="720"/>
        <w:jc w:val="both"/>
      </w:pPr>
      <w:r>
        <w:lastRenderedPageBreak/>
        <w:t>Attempt to resolve grievances informally at the local level within 10 business days of receipt;</w:t>
      </w:r>
    </w:p>
    <w:p w14:paraId="7C2AE45B" w14:textId="77777777" w:rsidR="00322CA4" w:rsidRDefault="00322CA4" w:rsidP="00322CA4">
      <w:pPr>
        <w:jc w:val="both"/>
      </w:pPr>
    </w:p>
    <w:p w14:paraId="6BC0FE88" w14:textId="77777777" w:rsidR="00A632C8" w:rsidRDefault="00A632C8" w:rsidP="00007DE4">
      <w:pPr>
        <w:pStyle w:val="ListParagraph"/>
        <w:numPr>
          <w:ilvl w:val="2"/>
          <w:numId w:val="21"/>
        </w:numPr>
        <w:ind w:left="1440" w:hanging="720"/>
        <w:jc w:val="both"/>
      </w:pPr>
      <w:r>
        <w:t>Escalate unresolved grievances through the formal process described in the grievance policy; and</w:t>
      </w:r>
    </w:p>
    <w:p w14:paraId="47CD74A7" w14:textId="77777777" w:rsidR="00322CA4" w:rsidRDefault="00322CA4" w:rsidP="00322CA4">
      <w:pPr>
        <w:jc w:val="both"/>
      </w:pPr>
    </w:p>
    <w:p w14:paraId="65F18F8E" w14:textId="77777777" w:rsidR="00A632C8" w:rsidRDefault="00A632C8" w:rsidP="00007DE4">
      <w:pPr>
        <w:pStyle w:val="ListParagraph"/>
        <w:numPr>
          <w:ilvl w:val="2"/>
          <w:numId w:val="21"/>
        </w:numPr>
        <w:ind w:left="1440" w:hanging="720"/>
        <w:jc w:val="both"/>
      </w:pPr>
      <w:r>
        <w:t>Maintain a grievance file for all formal complaints, including all documentation required by the policy.</w:t>
      </w:r>
    </w:p>
    <w:p w14:paraId="7F1D2701" w14:textId="77777777" w:rsidR="00A632C8" w:rsidRDefault="00A632C8" w:rsidP="00A632C8">
      <w:pPr>
        <w:pStyle w:val="ListParagraph"/>
        <w:ind w:left="1224"/>
        <w:jc w:val="both"/>
      </w:pPr>
    </w:p>
    <w:p w14:paraId="1C6E4B33" w14:textId="136F2C3E" w:rsidR="00A632C8" w:rsidRDefault="00D843DD" w:rsidP="00007DE4">
      <w:pPr>
        <w:pStyle w:val="ListParagraph"/>
        <w:numPr>
          <w:ilvl w:val="1"/>
          <w:numId w:val="21"/>
        </w:numPr>
        <w:ind w:left="900" w:hanging="540"/>
        <w:jc w:val="both"/>
        <w:rPr>
          <w:b/>
          <w:bCs/>
        </w:rPr>
      </w:pPr>
      <w:r>
        <w:rPr>
          <w:b/>
          <w:bCs/>
        </w:rPr>
        <w:t>Host Agency Satisfaction Surveys</w:t>
      </w:r>
    </w:p>
    <w:p w14:paraId="4E47A47D" w14:textId="77777777" w:rsidR="00A632C8" w:rsidRPr="00DE7764" w:rsidRDefault="00A632C8" w:rsidP="00A632C8">
      <w:pPr>
        <w:pStyle w:val="ListParagraph"/>
        <w:ind w:left="900"/>
        <w:jc w:val="both"/>
        <w:rPr>
          <w:b/>
          <w:bCs/>
        </w:rPr>
      </w:pPr>
      <w:r>
        <w:t>The Contractor must distribute USDOL-required employer satisfaction surveys to all active host agencies at least once per program year, in accordance with GPMS requirements and applicable TEGLs. The Contractor is responsible for:</w:t>
      </w:r>
    </w:p>
    <w:p w14:paraId="2D7E3BC2" w14:textId="77777777" w:rsidR="00A632C8" w:rsidRPr="00DE7764" w:rsidRDefault="00A632C8" w:rsidP="00A632C8">
      <w:pPr>
        <w:pStyle w:val="ListParagraph"/>
        <w:ind w:left="900"/>
        <w:jc w:val="both"/>
        <w:rPr>
          <w:b/>
          <w:bCs/>
        </w:rPr>
      </w:pPr>
    </w:p>
    <w:p w14:paraId="5EC74DFA" w14:textId="5FF97E5E" w:rsidR="00A632C8" w:rsidRDefault="00A632C8" w:rsidP="00007DE4">
      <w:pPr>
        <w:pStyle w:val="ListParagraph"/>
        <w:numPr>
          <w:ilvl w:val="2"/>
          <w:numId w:val="21"/>
        </w:numPr>
        <w:ind w:left="1440" w:hanging="720"/>
        <w:jc w:val="both"/>
      </w:pPr>
      <w:r>
        <w:t>Distributing surveys to Host Agency supervisors within the required timeframe;</w:t>
      </w:r>
    </w:p>
    <w:p w14:paraId="6110ED69" w14:textId="77777777" w:rsidR="00322CA4" w:rsidRPr="00280112" w:rsidRDefault="00322CA4" w:rsidP="00322CA4">
      <w:pPr>
        <w:pStyle w:val="ListParagraph"/>
        <w:ind w:left="1440"/>
        <w:jc w:val="both"/>
      </w:pPr>
    </w:p>
    <w:p w14:paraId="1F075B1F" w14:textId="77777777" w:rsidR="00A632C8" w:rsidRDefault="00A632C8" w:rsidP="00007DE4">
      <w:pPr>
        <w:pStyle w:val="ListParagraph"/>
        <w:numPr>
          <w:ilvl w:val="2"/>
          <w:numId w:val="21"/>
        </w:numPr>
        <w:ind w:left="1440" w:hanging="720"/>
        <w:jc w:val="both"/>
      </w:pPr>
      <w:r>
        <w:t>Collecting completed surveys and entering results into GPMS; and</w:t>
      </w:r>
    </w:p>
    <w:p w14:paraId="3FCCB37B" w14:textId="77777777" w:rsidR="00322CA4" w:rsidRPr="00280112" w:rsidRDefault="00322CA4" w:rsidP="00322CA4">
      <w:pPr>
        <w:jc w:val="both"/>
      </w:pPr>
    </w:p>
    <w:p w14:paraId="783F6BEE" w14:textId="77777777" w:rsidR="00A632C8" w:rsidRPr="00DE7764" w:rsidRDefault="00A632C8" w:rsidP="00007DE4">
      <w:pPr>
        <w:pStyle w:val="ListParagraph"/>
        <w:numPr>
          <w:ilvl w:val="2"/>
          <w:numId w:val="21"/>
        </w:numPr>
        <w:ind w:left="1440" w:hanging="720"/>
        <w:jc w:val="both"/>
        <w:rPr>
          <w:b/>
          <w:bCs/>
        </w:rPr>
      </w:pPr>
      <w:r>
        <w:t>Clearing all Pending Employer Survey flags in GPMS prior to each quarter-end. Survey results will be used to track performance against the Effectiveness in Serving Host Agencies measure.</w:t>
      </w:r>
    </w:p>
    <w:p w14:paraId="4AB85054" w14:textId="77777777" w:rsidR="000C799E" w:rsidRPr="00AB4917" w:rsidRDefault="000C799E" w:rsidP="000C799E">
      <w:pPr>
        <w:jc w:val="both"/>
      </w:pPr>
    </w:p>
    <w:p w14:paraId="459DB34C" w14:textId="05BAF5EB" w:rsidR="00A632C8" w:rsidRDefault="00D843DD" w:rsidP="00007DE4">
      <w:pPr>
        <w:pStyle w:val="ListParagraph"/>
        <w:numPr>
          <w:ilvl w:val="0"/>
          <w:numId w:val="21"/>
        </w:numPr>
        <w:jc w:val="both"/>
        <w:rPr>
          <w:b/>
          <w:bCs/>
        </w:rPr>
      </w:pPr>
      <w:r>
        <w:rPr>
          <w:b/>
          <w:bCs/>
        </w:rPr>
        <w:t>Host Agency Management</w:t>
      </w:r>
    </w:p>
    <w:p w14:paraId="4DF43563" w14:textId="77777777" w:rsidR="00A632C8" w:rsidRDefault="00A632C8" w:rsidP="00A632C8">
      <w:pPr>
        <w:pStyle w:val="ListParagraph"/>
        <w:ind w:left="360"/>
        <w:jc w:val="both"/>
        <w:rPr>
          <w:b/>
          <w:bCs/>
        </w:rPr>
      </w:pPr>
    </w:p>
    <w:p w14:paraId="2CB0FB72" w14:textId="693C29AA" w:rsidR="00A632C8" w:rsidRPr="00AB4917" w:rsidRDefault="00D843DD" w:rsidP="00007DE4">
      <w:pPr>
        <w:pStyle w:val="ListParagraph"/>
        <w:numPr>
          <w:ilvl w:val="1"/>
          <w:numId w:val="21"/>
        </w:numPr>
        <w:jc w:val="both"/>
        <w:rPr>
          <w:b/>
          <w:bCs/>
        </w:rPr>
      </w:pPr>
      <w:r>
        <w:rPr>
          <w:b/>
          <w:bCs/>
        </w:rPr>
        <w:t>Host Agency Recruitment and Selection</w:t>
      </w:r>
    </w:p>
    <w:p w14:paraId="1CAB0E25" w14:textId="4C053EAE" w:rsidR="00A632C8" w:rsidRPr="00AB4917" w:rsidRDefault="00A632C8" w:rsidP="00A632C8">
      <w:pPr>
        <w:pStyle w:val="ListParagraph"/>
        <w:ind w:left="792"/>
        <w:jc w:val="both"/>
        <w:rPr>
          <w:b/>
          <w:bCs/>
        </w:rPr>
      </w:pPr>
      <w:r>
        <w:t>The Contractor must recruit, screen, and select a sufficient number of qualifying host agencies to maintain an active community service training assignment for each enrolled Participant at all times. Host agencies must be public agencies or non-profit organizations exempt from taxation under Section 501(c)(3) of the Internal Revenue Code. Political parties may not serve as host agencies. The Contractor must verify that all host agencies meet federal eligibility requirements prior to executing a Host Agency Agreement.</w:t>
      </w:r>
    </w:p>
    <w:p w14:paraId="694A7117" w14:textId="77777777" w:rsidR="00A632C8" w:rsidRDefault="00A632C8" w:rsidP="00A632C8">
      <w:pPr>
        <w:pStyle w:val="ListParagraph"/>
        <w:ind w:left="792"/>
        <w:jc w:val="both"/>
        <w:rPr>
          <w:b/>
          <w:bCs/>
        </w:rPr>
      </w:pPr>
    </w:p>
    <w:p w14:paraId="67E15C6A" w14:textId="1397651E" w:rsidR="00A632C8" w:rsidRPr="00AB4917" w:rsidRDefault="00D843DD" w:rsidP="00007DE4">
      <w:pPr>
        <w:pStyle w:val="ListParagraph"/>
        <w:numPr>
          <w:ilvl w:val="1"/>
          <w:numId w:val="21"/>
        </w:numPr>
        <w:jc w:val="both"/>
        <w:rPr>
          <w:b/>
          <w:bCs/>
        </w:rPr>
      </w:pPr>
      <w:r>
        <w:rPr>
          <w:b/>
          <w:bCs/>
        </w:rPr>
        <w:t>Host Agency Agreements</w:t>
      </w:r>
    </w:p>
    <w:p w14:paraId="4BA33F46" w14:textId="36AFE8DA" w:rsidR="00A632C8" w:rsidRDefault="00A632C8" w:rsidP="00A632C8">
      <w:pPr>
        <w:pStyle w:val="ListParagraph"/>
        <w:ind w:left="792"/>
        <w:jc w:val="both"/>
      </w:pPr>
      <w:r>
        <w:t>Prior to placing any Participant at a Host Agency, the Contractor must execute a written Host Agency Agreement with each agency. The agreement must:</w:t>
      </w:r>
    </w:p>
    <w:p w14:paraId="50BF486E" w14:textId="77777777" w:rsidR="00A632C8" w:rsidRDefault="00A632C8" w:rsidP="00A632C8">
      <w:pPr>
        <w:pStyle w:val="ListParagraph"/>
        <w:ind w:left="792"/>
        <w:jc w:val="both"/>
      </w:pPr>
    </w:p>
    <w:p w14:paraId="554A824B" w14:textId="77777777" w:rsidR="00A632C8" w:rsidRDefault="00A632C8" w:rsidP="00007DE4">
      <w:pPr>
        <w:pStyle w:val="ListParagraph"/>
        <w:numPr>
          <w:ilvl w:val="2"/>
          <w:numId w:val="21"/>
        </w:numPr>
        <w:ind w:left="1350" w:hanging="630"/>
        <w:jc w:val="both"/>
      </w:pPr>
      <w:r>
        <w:t>Define the community service assignment and training provided;</w:t>
      </w:r>
    </w:p>
    <w:p w14:paraId="4241A447" w14:textId="77777777" w:rsidR="00063739" w:rsidRDefault="00063739" w:rsidP="00063739">
      <w:pPr>
        <w:pStyle w:val="ListParagraph"/>
        <w:ind w:left="1350"/>
        <w:jc w:val="both"/>
      </w:pPr>
    </w:p>
    <w:p w14:paraId="26756B63" w14:textId="2008C2FB" w:rsidR="00A632C8" w:rsidRDefault="00A632C8" w:rsidP="00007DE4">
      <w:pPr>
        <w:pStyle w:val="ListParagraph"/>
        <w:numPr>
          <w:ilvl w:val="2"/>
          <w:numId w:val="21"/>
        </w:numPr>
        <w:ind w:left="1350" w:hanging="630"/>
        <w:jc w:val="both"/>
      </w:pPr>
      <w:r>
        <w:t>Establish the maintenance of effort requirement and obtain the Host Agency's signed commitment;</w:t>
      </w:r>
    </w:p>
    <w:p w14:paraId="48717329" w14:textId="77777777" w:rsidR="00063739" w:rsidRDefault="00063739" w:rsidP="00063739">
      <w:pPr>
        <w:pStyle w:val="ListParagraph"/>
        <w:ind w:left="1350"/>
        <w:jc w:val="both"/>
      </w:pPr>
    </w:p>
    <w:p w14:paraId="01A57D46" w14:textId="61E27F9E" w:rsidR="00A632C8" w:rsidRDefault="00A632C8" w:rsidP="00007DE4">
      <w:pPr>
        <w:pStyle w:val="ListParagraph"/>
        <w:numPr>
          <w:ilvl w:val="2"/>
          <w:numId w:val="21"/>
        </w:numPr>
        <w:ind w:left="1350" w:hanging="630"/>
        <w:jc w:val="both"/>
      </w:pPr>
      <w:r>
        <w:t>Address Participant supervision responsibilities;</w:t>
      </w:r>
    </w:p>
    <w:p w14:paraId="4C288C49" w14:textId="77777777" w:rsidR="00063739" w:rsidRDefault="00063739" w:rsidP="00063739">
      <w:pPr>
        <w:pStyle w:val="ListParagraph"/>
        <w:ind w:left="1350"/>
        <w:jc w:val="both"/>
      </w:pPr>
    </w:p>
    <w:p w14:paraId="44C3A4C5" w14:textId="77777777" w:rsidR="00A632C8" w:rsidRDefault="00A632C8" w:rsidP="00007DE4">
      <w:pPr>
        <w:pStyle w:val="ListParagraph"/>
        <w:numPr>
          <w:ilvl w:val="2"/>
          <w:numId w:val="21"/>
        </w:numPr>
        <w:ind w:left="1350" w:hanging="630"/>
        <w:jc w:val="both"/>
      </w:pPr>
      <w:r>
        <w:t>Define safety requirements and the process for reporting workplace incidents; and</w:t>
      </w:r>
    </w:p>
    <w:p w14:paraId="2AA4E0D2" w14:textId="77777777" w:rsidR="00063739" w:rsidRDefault="00063739" w:rsidP="00063739">
      <w:pPr>
        <w:pStyle w:val="ListParagraph"/>
        <w:ind w:left="1350"/>
        <w:jc w:val="both"/>
      </w:pPr>
    </w:p>
    <w:p w14:paraId="2094F834" w14:textId="77777777" w:rsidR="00A632C8" w:rsidRDefault="00A632C8" w:rsidP="00007DE4">
      <w:pPr>
        <w:pStyle w:val="ListParagraph"/>
        <w:numPr>
          <w:ilvl w:val="2"/>
          <w:numId w:val="21"/>
        </w:numPr>
        <w:ind w:left="1350" w:hanging="630"/>
        <w:jc w:val="both"/>
      </w:pPr>
      <w:r>
        <w:t>Specify in-kind match reporting requirements.</w:t>
      </w:r>
    </w:p>
    <w:p w14:paraId="0E02B1A5" w14:textId="77777777" w:rsidR="00A632C8" w:rsidRPr="00667F6C" w:rsidRDefault="00A632C8" w:rsidP="00A632C8">
      <w:pPr>
        <w:pStyle w:val="ListParagraph"/>
        <w:ind w:left="1350"/>
        <w:jc w:val="both"/>
      </w:pPr>
    </w:p>
    <w:p w14:paraId="112092E2" w14:textId="0307E877" w:rsidR="00A632C8" w:rsidRPr="00322CA4" w:rsidRDefault="00A632C8" w:rsidP="00007DE4">
      <w:pPr>
        <w:pStyle w:val="ListParagraph"/>
        <w:numPr>
          <w:ilvl w:val="1"/>
          <w:numId w:val="21"/>
        </w:numPr>
        <w:jc w:val="both"/>
        <w:rPr>
          <w:b/>
          <w:bCs/>
        </w:rPr>
      </w:pPr>
      <w:r>
        <w:rPr>
          <w:b/>
          <w:bCs/>
        </w:rPr>
        <w:t>Safety Monitoring</w:t>
      </w:r>
    </w:p>
    <w:p w14:paraId="29AFA53F" w14:textId="77777777" w:rsidR="00A632C8" w:rsidRDefault="00A632C8" w:rsidP="00A632C8">
      <w:pPr>
        <w:pStyle w:val="ListParagraph"/>
        <w:ind w:left="792"/>
        <w:jc w:val="both"/>
      </w:pPr>
    </w:p>
    <w:p w14:paraId="51CFE446" w14:textId="54D4141C" w:rsidR="00322CA4" w:rsidRDefault="00322CA4" w:rsidP="00007DE4">
      <w:pPr>
        <w:pStyle w:val="ListParagraph"/>
        <w:numPr>
          <w:ilvl w:val="2"/>
          <w:numId w:val="21"/>
        </w:numPr>
        <w:ind w:left="1350" w:hanging="630"/>
        <w:jc w:val="both"/>
      </w:pPr>
      <w:r>
        <w:t>The Contractor must conduct a safety assessment at each Host Agency site prior to or concurrent with the initial placement of a Participant at that site, and at least annually thereafter for all active sites.</w:t>
      </w:r>
    </w:p>
    <w:p w14:paraId="4F2A3A61" w14:textId="77777777" w:rsidR="00322CA4" w:rsidRPr="00322CA4" w:rsidRDefault="00322CA4" w:rsidP="00322CA4">
      <w:pPr>
        <w:pStyle w:val="ListParagraph"/>
        <w:ind w:left="1350"/>
        <w:jc w:val="both"/>
      </w:pPr>
    </w:p>
    <w:p w14:paraId="2F754186" w14:textId="022DFC79" w:rsidR="00322CA4" w:rsidRDefault="00322CA4" w:rsidP="00007DE4">
      <w:pPr>
        <w:pStyle w:val="ListParagraph"/>
        <w:numPr>
          <w:ilvl w:val="2"/>
          <w:numId w:val="21"/>
        </w:numPr>
        <w:ind w:left="1350" w:hanging="630"/>
        <w:jc w:val="both"/>
      </w:pPr>
      <w:r>
        <w:t>Where a pre-placement on-site visit is not feasible, the Contractor must complete a documented remote safety screening using a standardized checklist and conduct an in-person assessment within fifteen (15) calendar days of the Participant's first day at that site.</w:t>
      </w:r>
    </w:p>
    <w:p w14:paraId="22859138" w14:textId="77777777" w:rsidR="00322CA4" w:rsidRPr="00322CA4" w:rsidRDefault="00322CA4" w:rsidP="00322CA4">
      <w:pPr>
        <w:jc w:val="both"/>
      </w:pPr>
    </w:p>
    <w:p w14:paraId="405F8154" w14:textId="7F1BF159" w:rsidR="00322CA4" w:rsidRDefault="00322CA4" w:rsidP="00007DE4">
      <w:pPr>
        <w:pStyle w:val="ListParagraph"/>
        <w:numPr>
          <w:ilvl w:val="2"/>
          <w:numId w:val="21"/>
        </w:numPr>
        <w:ind w:left="1350" w:hanging="630"/>
        <w:jc w:val="both"/>
      </w:pPr>
      <w:r>
        <w:t>The Contractor must document and follow up in writing on any safety concerns identified during site visits or remote screenings, with corrective actions tracked to resolution.</w:t>
      </w:r>
    </w:p>
    <w:p w14:paraId="1DD5F2C6" w14:textId="77777777" w:rsidR="00322CA4" w:rsidRPr="00322CA4" w:rsidRDefault="00322CA4" w:rsidP="00322CA4">
      <w:pPr>
        <w:jc w:val="both"/>
      </w:pPr>
    </w:p>
    <w:p w14:paraId="2AF15094" w14:textId="151FA8CB" w:rsidR="00322CA4" w:rsidRDefault="00322CA4" w:rsidP="00007DE4">
      <w:pPr>
        <w:pStyle w:val="ListParagraph"/>
        <w:numPr>
          <w:ilvl w:val="2"/>
          <w:numId w:val="21"/>
        </w:numPr>
        <w:ind w:left="1350" w:hanging="630"/>
        <w:jc w:val="both"/>
      </w:pPr>
      <w:r>
        <w:lastRenderedPageBreak/>
        <w:t>The Contractor must maintain all safety assessment documentation in the Host Agency file, available to ICOA upon request.</w:t>
      </w:r>
    </w:p>
    <w:p w14:paraId="2D5B9A2A" w14:textId="77777777" w:rsidR="00322CA4" w:rsidRPr="00322CA4" w:rsidRDefault="00322CA4" w:rsidP="00322CA4">
      <w:pPr>
        <w:pStyle w:val="ListParagraph"/>
        <w:ind w:left="1350"/>
        <w:jc w:val="both"/>
      </w:pPr>
    </w:p>
    <w:p w14:paraId="06AD082C" w14:textId="47EE598E" w:rsidR="00322CA4" w:rsidRPr="00322CA4" w:rsidRDefault="00322CA4" w:rsidP="00007DE4">
      <w:pPr>
        <w:pStyle w:val="ListParagraph"/>
        <w:numPr>
          <w:ilvl w:val="2"/>
          <w:numId w:val="21"/>
        </w:numPr>
        <w:ind w:left="1350" w:hanging="630"/>
        <w:jc w:val="both"/>
      </w:pPr>
      <w:r>
        <w:t>The Contractor must ensure that all Participants are provided with a safe working environment throughout their CSA. If a safety concern cannot be resolved in a timely manner, the Contractor must remove the Participant from that site pending resolution and notify ICOA within two (2) business days.</w:t>
      </w:r>
    </w:p>
    <w:p w14:paraId="43D76520" w14:textId="371F419F" w:rsidR="00A632C8" w:rsidRDefault="00A632C8" w:rsidP="00322CA4">
      <w:pPr>
        <w:pStyle w:val="ListParagraph"/>
        <w:ind w:left="1350"/>
        <w:jc w:val="both"/>
        <w:rPr>
          <w:b/>
          <w:bCs/>
        </w:rPr>
      </w:pPr>
    </w:p>
    <w:p w14:paraId="394F63F4" w14:textId="77777777" w:rsidR="00A632C8" w:rsidRPr="00AB4917" w:rsidRDefault="00A632C8" w:rsidP="00007DE4">
      <w:pPr>
        <w:pStyle w:val="ListParagraph"/>
        <w:numPr>
          <w:ilvl w:val="1"/>
          <w:numId w:val="21"/>
        </w:numPr>
        <w:jc w:val="both"/>
        <w:rPr>
          <w:b/>
          <w:bCs/>
        </w:rPr>
      </w:pPr>
      <w:r>
        <w:rPr>
          <w:b/>
          <w:bCs/>
        </w:rPr>
        <w:t>In-Kind Match Documentation</w:t>
      </w:r>
    </w:p>
    <w:p w14:paraId="35BA4DA0" w14:textId="2FE8A89A" w:rsidR="00A632C8" w:rsidRDefault="00A632C8" w:rsidP="00A632C8">
      <w:pPr>
        <w:pStyle w:val="ListParagraph"/>
        <w:ind w:left="792"/>
        <w:jc w:val="both"/>
      </w:pPr>
      <w:r>
        <w:t>The Contractor must document in-kind match contributed by host agencies. In-kind match includes the value of Host Agency supervision time, equipment, and space used to support SCSEP Participants. The Contractor must:</w:t>
      </w:r>
    </w:p>
    <w:p w14:paraId="4740BFA0" w14:textId="77777777" w:rsidR="00A632C8" w:rsidRDefault="00A632C8" w:rsidP="00A632C8">
      <w:pPr>
        <w:pStyle w:val="ListParagraph"/>
        <w:ind w:left="792"/>
        <w:jc w:val="both"/>
      </w:pPr>
    </w:p>
    <w:p w14:paraId="1A04486D" w14:textId="02C717FA" w:rsidR="00A632C8" w:rsidRDefault="00A632C8" w:rsidP="00007DE4">
      <w:pPr>
        <w:pStyle w:val="ListParagraph"/>
        <w:numPr>
          <w:ilvl w:val="2"/>
          <w:numId w:val="21"/>
        </w:numPr>
        <w:ind w:left="1350" w:hanging="630"/>
        <w:jc w:val="both"/>
      </w:pPr>
      <w:r>
        <w:t>Obtain completed in-kind match documentation from each Host Agency monthly, coinciding with each invoice submission;</w:t>
      </w:r>
    </w:p>
    <w:p w14:paraId="5E12685F" w14:textId="77777777" w:rsidR="00063739" w:rsidRDefault="00063739" w:rsidP="00063739">
      <w:pPr>
        <w:pStyle w:val="ListParagraph"/>
        <w:ind w:left="1350"/>
        <w:jc w:val="both"/>
      </w:pPr>
    </w:p>
    <w:p w14:paraId="315B3545" w14:textId="77777777" w:rsidR="00A632C8" w:rsidRDefault="00A632C8" w:rsidP="00007DE4">
      <w:pPr>
        <w:pStyle w:val="ListParagraph"/>
        <w:numPr>
          <w:ilvl w:val="2"/>
          <w:numId w:val="21"/>
        </w:numPr>
        <w:ind w:left="1350" w:hanging="630"/>
        <w:jc w:val="both"/>
      </w:pPr>
      <w:r>
        <w:t>Aggregate and report in-kind contributions toward the 10% local match requirement on each invoice; and</w:t>
      </w:r>
    </w:p>
    <w:p w14:paraId="08CC4231" w14:textId="77777777" w:rsidR="00063739" w:rsidRDefault="00063739" w:rsidP="00063739">
      <w:pPr>
        <w:pStyle w:val="ListParagraph"/>
        <w:ind w:left="1350"/>
        <w:jc w:val="both"/>
      </w:pPr>
    </w:p>
    <w:p w14:paraId="13177056" w14:textId="77777777" w:rsidR="00A632C8" w:rsidRDefault="00A632C8" w:rsidP="00007DE4">
      <w:pPr>
        <w:pStyle w:val="ListParagraph"/>
        <w:numPr>
          <w:ilvl w:val="2"/>
          <w:numId w:val="21"/>
        </w:numPr>
        <w:ind w:left="1350" w:hanging="630"/>
        <w:jc w:val="both"/>
      </w:pPr>
      <w:r>
        <w:t>Maintain in-kind documentation in program files, available for audit.</w:t>
      </w:r>
    </w:p>
    <w:p w14:paraId="053D45AC" w14:textId="77777777" w:rsidR="00A632C8" w:rsidRDefault="00A632C8" w:rsidP="00A632C8">
      <w:pPr>
        <w:pStyle w:val="ListParagraph"/>
        <w:ind w:left="792"/>
        <w:jc w:val="both"/>
        <w:rPr>
          <w:b/>
          <w:bCs/>
        </w:rPr>
      </w:pPr>
    </w:p>
    <w:p w14:paraId="039520E1" w14:textId="42F4DD18" w:rsidR="00A632C8" w:rsidRDefault="00A632C8" w:rsidP="002A1AC1">
      <w:pPr>
        <w:pStyle w:val="ListParagraph"/>
        <w:keepNext/>
        <w:numPr>
          <w:ilvl w:val="0"/>
          <w:numId w:val="21"/>
        </w:numPr>
        <w:jc w:val="both"/>
        <w:rPr>
          <w:b/>
          <w:bCs/>
        </w:rPr>
      </w:pPr>
      <w:r>
        <w:rPr>
          <w:b/>
          <w:bCs/>
        </w:rPr>
        <w:t>Program Administration</w:t>
      </w:r>
    </w:p>
    <w:p w14:paraId="5FE18906" w14:textId="77777777" w:rsidR="00063739" w:rsidRPr="00A632C8" w:rsidRDefault="00063739" w:rsidP="002A1AC1">
      <w:pPr>
        <w:pStyle w:val="ListParagraph"/>
        <w:keepNext/>
        <w:ind w:left="360"/>
        <w:jc w:val="both"/>
        <w:rPr>
          <w:b/>
          <w:bCs/>
        </w:rPr>
      </w:pPr>
    </w:p>
    <w:p w14:paraId="0B1AFA5C" w14:textId="11F84655" w:rsidR="00A632C8" w:rsidRDefault="00D843DD" w:rsidP="00007DE4">
      <w:pPr>
        <w:pStyle w:val="ListParagraph"/>
        <w:numPr>
          <w:ilvl w:val="1"/>
          <w:numId w:val="21"/>
        </w:numPr>
        <w:jc w:val="both"/>
        <w:rPr>
          <w:b/>
          <w:bCs/>
        </w:rPr>
      </w:pPr>
      <w:r>
        <w:rPr>
          <w:b/>
          <w:bCs/>
        </w:rPr>
        <w:t>Participant Payroll</w:t>
      </w:r>
    </w:p>
    <w:p w14:paraId="25034BC1" w14:textId="5B41BE7B" w:rsidR="00A632C8" w:rsidRDefault="00A632C8" w:rsidP="00A632C8">
      <w:pPr>
        <w:pStyle w:val="ListParagraph"/>
        <w:ind w:left="792"/>
        <w:jc w:val="both"/>
      </w:pPr>
      <w:r>
        <w:t>The Contractor is responsible for timely and accurate payment of Participant wages and fringe benefits. Requirements include:</w:t>
      </w:r>
    </w:p>
    <w:p w14:paraId="0A7DE4A9" w14:textId="77777777" w:rsidR="00A632C8" w:rsidRDefault="00A632C8" w:rsidP="00A632C8">
      <w:pPr>
        <w:pStyle w:val="ListParagraph"/>
        <w:ind w:left="792"/>
        <w:jc w:val="both"/>
      </w:pPr>
    </w:p>
    <w:p w14:paraId="1AB9EE0E" w14:textId="0CAD755F" w:rsidR="00A632C8" w:rsidRDefault="00A632C8" w:rsidP="00007DE4">
      <w:pPr>
        <w:pStyle w:val="ListParagraph"/>
        <w:numPr>
          <w:ilvl w:val="2"/>
          <w:numId w:val="21"/>
        </w:numPr>
        <w:ind w:left="1350" w:hanging="630"/>
        <w:jc w:val="both"/>
      </w:pPr>
      <w:r>
        <w:t>Pay Participants at the highest applicable federal, state, or local minimum wage for their service area;</w:t>
      </w:r>
    </w:p>
    <w:p w14:paraId="7CF7D93D" w14:textId="77777777" w:rsidR="00063739" w:rsidRDefault="00063739" w:rsidP="00063739">
      <w:pPr>
        <w:pStyle w:val="ListParagraph"/>
        <w:ind w:left="1350"/>
        <w:jc w:val="both"/>
      </w:pPr>
    </w:p>
    <w:p w14:paraId="69EE4D93" w14:textId="77777777" w:rsidR="00A632C8" w:rsidRDefault="00A632C8" w:rsidP="00007DE4">
      <w:pPr>
        <w:pStyle w:val="ListParagraph"/>
        <w:numPr>
          <w:ilvl w:val="2"/>
          <w:numId w:val="21"/>
        </w:numPr>
        <w:ind w:left="1350" w:hanging="630"/>
        <w:jc w:val="both"/>
      </w:pPr>
      <w:r>
        <w:t>Process payroll at least bi-weekly, in accordance with applicable law and program requirements;</w:t>
      </w:r>
    </w:p>
    <w:p w14:paraId="3CBF315C" w14:textId="77777777" w:rsidR="00063739" w:rsidRDefault="00063739" w:rsidP="00063739">
      <w:pPr>
        <w:pStyle w:val="ListParagraph"/>
        <w:ind w:left="1350"/>
        <w:jc w:val="both"/>
      </w:pPr>
    </w:p>
    <w:p w14:paraId="7622ECF8" w14:textId="431B5F2B" w:rsidR="00A632C8" w:rsidRDefault="00A632C8" w:rsidP="00007DE4">
      <w:pPr>
        <w:pStyle w:val="ListParagraph"/>
        <w:numPr>
          <w:ilvl w:val="2"/>
          <w:numId w:val="21"/>
        </w:numPr>
        <w:ind w:left="1350" w:hanging="630"/>
        <w:jc w:val="both"/>
      </w:pPr>
      <w:r>
        <w:t>Collect and maintain signed Participant timesheets for each pay period; and</w:t>
      </w:r>
    </w:p>
    <w:p w14:paraId="4F85B46B" w14:textId="77777777" w:rsidR="00063739" w:rsidRDefault="00063739" w:rsidP="00063739">
      <w:pPr>
        <w:pStyle w:val="ListParagraph"/>
        <w:ind w:left="1350"/>
        <w:jc w:val="both"/>
      </w:pPr>
    </w:p>
    <w:p w14:paraId="34E9EDDD" w14:textId="130BEBC0" w:rsidR="00A632C8" w:rsidRDefault="00A632C8" w:rsidP="00007DE4">
      <w:pPr>
        <w:pStyle w:val="ListParagraph"/>
        <w:numPr>
          <w:ilvl w:val="2"/>
          <w:numId w:val="21"/>
        </w:numPr>
        <w:ind w:left="1350" w:hanging="630"/>
        <w:jc w:val="both"/>
      </w:pPr>
      <w:r>
        <w:t>Administer all required fringe benefits, including workers' compensation coverage, for all enrolled Participants.</w:t>
      </w:r>
    </w:p>
    <w:p w14:paraId="0D571639" w14:textId="77777777" w:rsidR="00A632C8" w:rsidRDefault="00A632C8" w:rsidP="00A632C8">
      <w:pPr>
        <w:pStyle w:val="ListParagraph"/>
        <w:ind w:left="792"/>
        <w:jc w:val="both"/>
        <w:rPr>
          <w:b/>
          <w:bCs/>
        </w:rPr>
      </w:pPr>
    </w:p>
    <w:p w14:paraId="60FC4180" w14:textId="77777777" w:rsidR="00A632C8" w:rsidRDefault="00A632C8" w:rsidP="00007DE4">
      <w:pPr>
        <w:pStyle w:val="ListParagraph"/>
        <w:numPr>
          <w:ilvl w:val="1"/>
          <w:numId w:val="21"/>
        </w:numPr>
        <w:jc w:val="both"/>
        <w:rPr>
          <w:b/>
          <w:bCs/>
        </w:rPr>
      </w:pPr>
      <w:r>
        <w:rPr>
          <w:b/>
          <w:bCs/>
        </w:rPr>
        <w:t>GPMS Data Management</w:t>
      </w:r>
    </w:p>
    <w:p w14:paraId="4869BF90" w14:textId="77777777" w:rsidR="00A632C8" w:rsidRDefault="00A632C8" w:rsidP="00A632C8">
      <w:pPr>
        <w:pStyle w:val="ListParagraph"/>
        <w:ind w:left="792"/>
        <w:jc w:val="both"/>
      </w:pPr>
      <w:r>
        <w:t>The Contractor is responsible for timely and accurate data entry in USDOL's Grantee Performance Management System (GPMS). Requirements include:</w:t>
      </w:r>
    </w:p>
    <w:p w14:paraId="1BE6DF04" w14:textId="77777777" w:rsidR="00A632C8" w:rsidRDefault="00A632C8" w:rsidP="00A632C8">
      <w:pPr>
        <w:pStyle w:val="ListParagraph"/>
        <w:ind w:left="792"/>
        <w:jc w:val="both"/>
      </w:pPr>
    </w:p>
    <w:p w14:paraId="03065EEB" w14:textId="3A7212A7" w:rsidR="00A632C8" w:rsidRDefault="00A632C8" w:rsidP="00007DE4">
      <w:pPr>
        <w:pStyle w:val="ListParagraph"/>
        <w:numPr>
          <w:ilvl w:val="2"/>
          <w:numId w:val="21"/>
        </w:numPr>
        <w:ind w:left="1350" w:hanging="630"/>
        <w:jc w:val="both"/>
      </w:pPr>
      <w:r>
        <w:t>Enter all required Participant, enrollment, CSA, IEP, exit, and follow-up data into GPMS within USDOL-required timeframes;</w:t>
      </w:r>
    </w:p>
    <w:p w14:paraId="2FE567BB" w14:textId="77777777" w:rsidR="00063739" w:rsidRDefault="00063739" w:rsidP="00063739">
      <w:pPr>
        <w:pStyle w:val="ListParagraph"/>
        <w:ind w:left="1350"/>
        <w:jc w:val="both"/>
      </w:pPr>
    </w:p>
    <w:p w14:paraId="26741545" w14:textId="77777777" w:rsidR="00A632C8" w:rsidRDefault="00A632C8" w:rsidP="00007DE4">
      <w:pPr>
        <w:pStyle w:val="ListParagraph"/>
        <w:numPr>
          <w:ilvl w:val="2"/>
          <w:numId w:val="21"/>
        </w:numPr>
        <w:ind w:left="1350" w:hanging="630"/>
        <w:jc w:val="both"/>
      </w:pPr>
      <w:r>
        <w:t>Clear all GPMS data errors (Rejections, Data Quality flags, and applicable Warnings) before each quarter-end;</w:t>
      </w:r>
    </w:p>
    <w:p w14:paraId="58F91A1D" w14:textId="77777777" w:rsidR="00063739" w:rsidRDefault="00063739" w:rsidP="00063739">
      <w:pPr>
        <w:pStyle w:val="ListParagraph"/>
        <w:ind w:left="1350"/>
        <w:jc w:val="both"/>
      </w:pPr>
    </w:p>
    <w:p w14:paraId="4E60BEE0" w14:textId="1E30E398" w:rsidR="00A632C8" w:rsidRDefault="00A632C8" w:rsidP="00007DE4">
      <w:pPr>
        <w:pStyle w:val="ListParagraph"/>
        <w:numPr>
          <w:ilvl w:val="2"/>
          <w:numId w:val="21"/>
        </w:numPr>
        <w:ind w:left="1350" w:hanging="630"/>
        <w:jc w:val="both"/>
      </w:pPr>
      <w:r>
        <w:t>Run and review required GPMS reports (including Waiting List, Waiver of Durational Limit, Participants with Approved Breaks, Pending Follow-ups, Most in Need/Waiver Factor Actions, Pending Employer Surveys, Durational Limit Rejections, and other Rejections) at least monthly; and</w:t>
      </w:r>
    </w:p>
    <w:p w14:paraId="279C27E7" w14:textId="77777777" w:rsidR="00063739" w:rsidRDefault="00063739" w:rsidP="00063739">
      <w:pPr>
        <w:pStyle w:val="ListParagraph"/>
        <w:ind w:left="1350"/>
        <w:jc w:val="both"/>
      </w:pPr>
    </w:p>
    <w:p w14:paraId="187F0C1A" w14:textId="534AF139" w:rsidR="00A632C8" w:rsidRPr="003A00FD" w:rsidRDefault="00A632C8" w:rsidP="003A00FD">
      <w:pPr>
        <w:pStyle w:val="ListParagraph"/>
        <w:numPr>
          <w:ilvl w:val="2"/>
          <w:numId w:val="21"/>
        </w:numPr>
        <w:ind w:left="1350" w:hanging="630"/>
        <w:jc w:val="both"/>
      </w:pPr>
      <w:r>
        <w:t>Ensure data accuracy sufficient to support USDOL data validation reviews.</w:t>
      </w:r>
    </w:p>
    <w:p w14:paraId="10B1AD57" w14:textId="77777777" w:rsidR="008C096B" w:rsidRDefault="008C096B" w:rsidP="00A632C8">
      <w:pPr>
        <w:pStyle w:val="ListParagraph"/>
        <w:ind w:left="792"/>
        <w:jc w:val="both"/>
        <w:rPr>
          <w:b/>
          <w:bCs/>
        </w:rPr>
      </w:pPr>
    </w:p>
    <w:p w14:paraId="5CFFFE36" w14:textId="6522BFB2" w:rsidR="00A632C8" w:rsidRPr="00AB4917" w:rsidRDefault="00D843DD" w:rsidP="00007DE4">
      <w:pPr>
        <w:pStyle w:val="ListParagraph"/>
        <w:numPr>
          <w:ilvl w:val="1"/>
          <w:numId w:val="21"/>
        </w:numPr>
        <w:jc w:val="both"/>
        <w:rPr>
          <w:b/>
          <w:bCs/>
        </w:rPr>
      </w:pPr>
      <w:r>
        <w:rPr>
          <w:b/>
          <w:bCs/>
        </w:rPr>
        <w:t>Participant Files and Confidentiality</w:t>
      </w:r>
    </w:p>
    <w:p w14:paraId="63C8435E" w14:textId="0F5DA2D6" w:rsidR="00A632C8" w:rsidRDefault="00A632C8" w:rsidP="00A632C8">
      <w:pPr>
        <w:pStyle w:val="ListParagraph"/>
        <w:ind w:left="792"/>
        <w:jc w:val="both"/>
      </w:pPr>
      <w:r>
        <w:t xml:space="preserve">The Contractor must maintain a complete and organized file for each Participant. Participant files must contain all documentation required by 20 CFR Part 641 and ICOA program guidance, including but not limited to: eligibility documentation, income determination records, enrollment forms, IEPs, CSA documentation, case notes, </w:t>
      </w:r>
      <w:r>
        <w:lastRenderedPageBreak/>
        <w:t>timesheets, recertification records, and exit documentation. The Contractor must not disclose Participant information without written Participant consent, except as required by law or for program administration purposes.</w:t>
      </w:r>
    </w:p>
    <w:p w14:paraId="14CD609E" w14:textId="77777777" w:rsidR="00A632C8" w:rsidRDefault="00A632C8" w:rsidP="00A632C8">
      <w:pPr>
        <w:pStyle w:val="ListParagraph"/>
        <w:ind w:left="792"/>
        <w:jc w:val="both"/>
        <w:rPr>
          <w:b/>
          <w:bCs/>
        </w:rPr>
      </w:pPr>
    </w:p>
    <w:p w14:paraId="26003D5B" w14:textId="77777777" w:rsidR="00A632C8" w:rsidRDefault="00A632C8" w:rsidP="00007DE4">
      <w:pPr>
        <w:pStyle w:val="ListParagraph"/>
        <w:numPr>
          <w:ilvl w:val="1"/>
          <w:numId w:val="21"/>
        </w:numPr>
        <w:jc w:val="both"/>
        <w:rPr>
          <w:b/>
          <w:bCs/>
        </w:rPr>
      </w:pPr>
      <w:r>
        <w:rPr>
          <w:b/>
          <w:bCs/>
        </w:rPr>
        <w:t>Over-Enrollment Management</w:t>
      </w:r>
    </w:p>
    <w:p w14:paraId="723E891F" w14:textId="77777777" w:rsidR="00A632C8" w:rsidRDefault="00A632C8" w:rsidP="00A632C8">
      <w:pPr>
        <w:pStyle w:val="ListParagraph"/>
        <w:ind w:left="792"/>
        <w:jc w:val="both"/>
      </w:pPr>
      <w:r>
        <w:t>The Contractor must monitor enrollment levels against authorized slots on an ongoing basis. If the Contractor identifies an over-enrollment situation, the Contractor must:</w:t>
      </w:r>
    </w:p>
    <w:p w14:paraId="641F6BE3" w14:textId="77777777" w:rsidR="00A632C8" w:rsidRDefault="00A632C8" w:rsidP="00A632C8">
      <w:pPr>
        <w:pStyle w:val="ListParagraph"/>
        <w:ind w:left="792"/>
        <w:jc w:val="both"/>
      </w:pPr>
    </w:p>
    <w:p w14:paraId="247AC699" w14:textId="77777777" w:rsidR="00A632C8" w:rsidRDefault="00A632C8" w:rsidP="00007DE4">
      <w:pPr>
        <w:pStyle w:val="ListParagraph"/>
        <w:numPr>
          <w:ilvl w:val="2"/>
          <w:numId w:val="21"/>
        </w:numPr>
        <w:ind w:left="1350" w:hanging="630"/>
        <w:jc w:val="both"/>
      </w:pPr>
      <w:r>
        <w:t>Notify ICOA in writing within one (1) business day of identifying an over-enrollment situation;</w:t>
      </w:r>
    </w:p>
    <w:p w14:paraId="7F50027C" w14:textId="77777777" w:rsidR="00063739" w:rsidRPr="009A7AF3" w:rsidRDefault="00063739" w:rsidP="00063739">
      <w:pPr>
        <w:pStyle w:val="ListParagraph"/>
        <w:ind w:left="1350"/>
        <w:jc w:val="both"/>
      </w:pPr>
    </w:p>
    <w:p w14:paraId="15219AF9" w14:textId="77777777" w:rsidR="00A632C8" w:rsidRDefault="00A632C8" w:rsidP="00007DE4">
      <w:pPr>
        <w:pStyle w:val="ListParagraph"/>
        <w:numPr>
          <w:ilvl w:val="2"/>
          <w:numId w:val="21"/>
        </w:numPr>
        <w:ind w:left="1350" w:hanging="630"/>
        <w:jc w:val="both"/>
      </w:pPr>
      <w:r>
        <w:t>Implement ICOA-approved over-enrollment procedures and return to authorized slot levels as quickly as operationally feasible, and in no event later than thirty (30) calendar days from the date of notification to ICOA; and</w:t>
      </w:r>
    </w:p>
    <w:p w14:paraId="2BF8F06A" w14:textId="77777777" w:rsidR="00063739" w:rsidRPr="009A7AF3" w:rsidRDefault="00063739" w:rsidP="00063739">
      <w:pPr>
        <w:pStyle w:val="ListParagraph"/>
        <w:ind w:left="1350"/>
        <w:jc w:val="both"/>
      </w:pPr>
    </w:p>
    <w:p w14:paraId="45430F8F" w14:textId="77777777" w:rsidR="00A632C8" w:rsidRDefault="00A632C8" w:rsidP="00007DE4">
      <w:pPr>
        <w:pStyle w:val="ListParagraph"/>
        <w:numPr>
          <w:ilvl w:val="2"/>
          <w:numId w:val="21"/>
        </w:numPr>
        <w:ind w:left="1350" w:hanging="630"/>
        <w:jc w:val="both"/>
      </w:pPr>
      <w:r>
        <w:t>Document all over-enrollment actions in GPMS and program files.</w:t>
      </w:r>
    </w:p>
    <w:p w14:paraId="4D1BD8AC" w14:textId="77777777" w:rsidR="000C799E" w:rsidRPr="000C799E" w:rsidRDefault="000C799E" w:rsidP="000C799E">
      <w:pPr>
        <w:jc w:val="both"/>
        <w:rPr>
          <w:b/>
          <w:bCs/>
        </w:rPr>
      </w:pPr>
    </w:p>
    <w:p w14:paraId="7D77038A" w14:textId="4CD00EA8" w:rsidR="00A632C8" w:rsidRDefault="00A632C8" w:rsidP="00007DE4">
      <w:pPr>
        <w:pStyle w:val="ListParagraph"/>
        <w:numPr>
          <w:ilvl w:val="0"/>
          <w:numId w:val="21"/>
        </w:numPr>
        <w:jc w:val="both"/>
        <w:rPr>
          <w:b/>
          <w:bCs/>
        </w:rPr>
      </w:pPr>
      <w:r>
        <w:rPr>
          <w:b/>
          <w:bCs/>
        </w:rPr>
        <w:t xml:space="preserve">Staffing Commitments </w:t>
      </w:r>
    </w:p>
    <w:p w14:paraId="19352311" w14:textId="77777777" w:rsidR="00A65078" w:rsidRDefault="00A65078" w:rsidP="00A65078">
      <w:pPr>
        <w:pStyle w:val="ListParagraph"/>
        <w:ind w:left="360"/>
        <w:jc w:val="both"/>
        <w:rPr>
          <w:b/>
          <w:bCs/>
        </w:rPr>
      </w:pPr>
    </w:p>
    <w:p w14:paraId="76163FB7" w14:textId="47AD4438" w:rsidR="00A65078" w:rsidRDefault="00751E5F" w:rsidP="00751E5F">
      <w:pPr>
        <w:pStyle w:val="ListParagraph"/>
        <w:numPr>
          <w:ilvl w:val="1"/>
          <w:numId w:val="21"/>
        </w:numPr>
        <w:jc w:val="both"/>
        <w:rPr>
          <w:b/>
          <w:bCs/>
        </w:rPr>
      </w:pPr>
      <w:r>
        <w:rPr>
          <w:b/>
          <w:bCs/>
        </w:rPr>
        <w:t>Staffing Rates and FTE Commitments</w:t>
      </w:r>
    </w:p>
    <w:p w14:paraId="6180230A" w14:textId="77777777" w:rsidR="00751E5F" w:rsidRDefault="00751E5F" w:rsidP="005165E8">
      <w:pPr>
        <w:pStyle w:val="ListParagraph"/>
        <w:ind w:left="810"/>
        <w:jc w:val="both"/>
      </w:pPr>
      <w:r>
        <w:t>The staff positions, Full-Time Annual Salaries, and FTE allocations submitted in the Contractor's Submittal Form C, Section 1 (Staffing) constitute binding contract terms. The Contractor must:</w:t>
      </w:r>
    </w:p>
    <w:p w14:paraId="54F24425" w14:textId="77777777" w:rsidR="00751E5F" w:rsidRPr="00751E5F" w:rsidRDefault="00751E5F" w:rsidP="00751E5F">
      <w:pPr>
        <w:pStyle w:val="ListParagraph"/>
        <w:ind w:left="1008"/>
        <w:jc w:val="both"/>
        <w:rPr>
          <w:b/>
          <w:bCs/>
        </w:rPr>
      </w:pPr>
    </w:p>
    <w:p w14:paraId="3EA2D4D1" w14:textId="77777777" w:rsidR="00751E5F" w:rsidRPr="005165E8" w:rsidRDefault="00751E5F" w:rsidP="005165E8">
      <w:pPr>
        <w:pStyle w:val="ListParagraph"/>
        <w:numPr>
          <w:ilvl w:val="2"/>
          <w:numId w:val="21"/>
        </w:numPr>
        <w:ind w:left="1350" w:hanging="630"/>
        <w:jc w:val="both"/>
      </w:pPr>
      <w:r>
        <w:t>Maintain the staffing structure represented in the Staffing Rates (Section 1) throughout each program year, subject to the personnel replacement provisions in Section 9;</w:t>
      </w:r>
    </w:p>
    <w:p w14:paraId="1AF6CCBA" w14:textId="77777777" w:rsidR="00751E5F" w:rsidRPr="005165E8" w:rsidRDefault="00751E5F" w:rsidP="005165E8">
      <w:pPr>
        <w:pStyle w:val="ListParagraph"/>
        <w:ind w:left="1350"/>
        <w:jc w:val="both"/>
      </w:pPr>
    </w:p>
    <w:p w14:paraId="1B297641" w14:textId="77777777" w:rsidR="00751E5F" w:rsidRPr="005165E8" w:rsidRDefault="00751E5F" w:rsidP="005165E8">
      <w:pPr>
        <w:pStyle w:val="ListParagraph"/>
        <w:numPr>
          <w:ilvl w:val="2"/>
          <w:numId w:val="21"/>
        </w:numPr>
        <w:ind w:left="1350" w:hanging="630"/>
        <w:jc w:val="both"/>
      </w:pPr>
      <w:r>
        <w:t>Honor the Full-Time Annual Salaries submitted in the Staffing Rates as maximum reimbursable rates for each named position; and</w:t>
      </w:r>
    </w:p>
    <w:p w14:paraId="20AA5A8E" w14:textId="77777777" w:rsidR="00751E5F" w:rsidRDefault="00751E5F" w:rsidP="005165E8">
      <w:pPr>
        <w:pStyle w:val="ListParagraph"/>
        <w:ind w:left="1350"/>
        <w:jc w:val="both"/>
      </w:pPr>
    </w:p>
    <w:p w14:paraId="06FE8998" w14:textId="4E9DEA11" w:rsidR="00751E5F" w:rsidRPr="005165E8" w:rsidRDefault="00751E5F" w:rsidP="005165E8">
      <w:pPr>
        <w:pStyle w:val="ListParagraph"/>
        <w:numPr>
          <w:ilvl w:val="2"/>
          <w:numId w:val="21"/>
        </w:numPr>
        <w:ind w:left="1350" w:hanging="630"/>
        <w:jc w:val="both"/>
      </w:pPr>
      <w:r>
        <w:t>Allocate to this Contract no less than the FTE committed in the Staffing Rates for each named position, except as adjusted under Section 8.2 below.</w:t>
      </w:r>
    </w:p>
    <w:p w14:paraId="6E5A43FB" w14:textId="77777777" w:rsidR="004E1972" w:rsidRDefault="004E1972" w:rsidP="00751E5F"/>
    <w:p w14:paraId="6F83FEA7" w14:textId="77777777" w:rsidR="004E1972" w:rsidRDefault="004E1972" w:rsidP="00007DE4">
      <w:pPr>
        <w:pStyle w:val="ListParagraph"/>
        <w:numPr>
          <w:ilvl w:val="1"/>
          <w:numId w:val="21"/>
        </w:numPr>
        <w:jc w:val="both"/>
      </w:pPr>
      <w:r>
        <w:rPr>
          <w:b/>
          <w:bCs/>
        </w:rPr>
        <w:t>Changes to FTE Commitments</w:t>
      </w:r>
    </w:p>
    <w:p w14:paraId="7C141D78" w14:textId="518CCE59" w:rsidR="00A65078" w:rsidRPr="004E1972" w:rsidRDefault="004E1972" w:rsidP="005165E8">
      <w:pPr>
        <w:pStyle w:val="ListParagraph"/>
        <w:ind w:left="810"/>
        <w:jc w:val="both"/>
      </w:pPr>
      <w:r>
        <w:t>The Contractor may not reduce committed FTE for any named position without prior written consent from ICOA. Increases to FTE allocation may be implemented at the Contractor's discretion within the approved program year budget but must be documented in writing to ICOA within five (5) business days of the change. Permanent changes to the staffing model that affect the Staffing Rates require a written contract amendment executed in accordance with Exhibit 3, Section 8 (Price Adjustment Clause).</w:t>
      </w:r>
    </w:p>
    <w:p w14:paraId="122ACED5" w14:textId="77777777" w:rsidR="00A65078" w:rsidRDefault="00A65078" w:rsidP="00A65078">
      <w:pPr>
        <w:pStyle w:val="ListParagraph"/>
        <w:ind w:left="1008"/>
        <w:jc w:val="both"/>
        <w:rPr>
          <w:b/>
          <w:bCs/>
        </w:rPr>
      </w:pPr>
    </w:p>
    <w:p w14:paraId="6345CC0A" w14:textId="49AABE2A" w:rsidR="00A65078" w:rsidRPr="00A65078" w:rsidRDefault="00A65078" w:rsidP="00007DE4">
      <w:pPr>
        <w:pStyle w:val="ListParagraph"/>
        <w:numPr>
          <w:ilvl w:val="1"/>
          <w:numId w:val="21"/>
        </w:numPr>
        <w:jc w:val="both"/>
        <w:rPr>
          <w:b/>
          <w:bCs/>
        </w:rPr>
      </w:pPr>
      <w:r>
        <w:rPr>
          <w:b/>
          <w:bCs/>
        </w:rPr>
        <w:t>FTE and Personnel Allocation Records</w:t>
      </w:r>
    </w:p>
    <w:p w14:paraId="289FF1B5" w14:textId="5B9C25C9" w:rsidR="00A65078" w:rsidRDefault="00A65078" w:rsidP="005165E8">
      <w:pPr>
        <w:pStyle w:val="ListParagraph"/>
        <w:ind w:left="810"/>
        <w:jc w:val="both"/>
        <w:rPr>
          <w:b/>
          <w:bCs/>
        </w:rPr>
      </w:pPr>
      <w:r>
        <w:t>The Contractor must maintain personnel time and effort records sufficient to document that staff time charged to this Contract reflects the FTE commitments in the Staffing Rates. Records must comply with 2 CFR Part 200, Subpart E – Cost Principles, including the requirements at 2 CFR 200.430 (Compensation – personal services). Records must be available to ICOA and federal auditors upon request, in accordance with Exhibit 3, Sections 5 (Audit Rights) and 4 (Records Maintenance).</w:t>
      </w:r>
    </w:p>
    <w:p w14:paraId="70FA82B0" w14:textId="77777777" w:rsidR="00A65078" w:rsidRDefault="00A65078" w:rsidP="00A65078">
      <w:pPr>
        <w:pStyle w:val="ListParagraph"/>
        <w:ind w:left="1008"/>
        <w:jc w:val="both"/>
        <w:rPr>
          <w:b/>
          <w:bCs/>
        </w:rPr>
      </w:pPr>
    </w:p>
    <w:p w14:paraId="1737111D" w14:textId="77777777" w:rsidR="00796E3D" w:rsidRDefault="00A632C8" w:rsidP="00007DE4">
      <w:pPr>
        <w:pStyle w:val="ListParagraph"/>
        <w:numPr>
          <w:ilvl w:val="0"/>
          <w:numId w:val="21"/>
        </w:numPr>
        <w:jc w:val="both"/>
        <w:rPr>
          <w:b/>
          <w:bCs/>
        </w:rPr>
      </w:pPr>
      <w:r>
        <w:rPr>
          <w:b/>
          <w:bCs/>
        </w:rPr>
        <w:t>Key Personnel</w:t>
      </w:r>
    </w:p>
    <w:p w14:paraId="73E936EA" w14:textId="77777777" w:rsidR="00A65078" w:rsidRDefault="00A65078" w:rsidP="00A65078">
      <w:pPr>
        <w:pStyle w:val="ListParagraph"/>
        <w:ind w:left="360"/>
        <w:jc w:val="both"/>
        <w:rPr>
          <w:b/>
          <w:bCs/>
        </w:rPr>
      </w:pPr>
    </w:p>
    <w:p w14:paraId="0F2A4F5B" w14:textId="7A7936C5" w:rsidR="00A632C8" w:rsidRPr="00796E3D" w:rsidRDefault="00A632C8" w:rsidP="00007DE4">
      <w:pPr>
        <w:pStyle w:val="ListParagraph"/>
        <w:numPr>
          <w:ilvl w:val="1"/>
          <w:numId w:val="21"/>
        </w:numPr>
        <w:jc w:val="both"/>
        <w:rPr>
          <w:b/>
          <w:bCs/>
        </w:rPr>
      </w:pPr>
      <w:r>
        <w:t>The Contractor must assign a dedicated Project Lead to serve as the primary point of contact with ICOA for the duration of the Contract. The Project Lead may not be replaced without prior written consent from ICOA. Such consent will not be unreasonably withheld or delayed, provided an equally qualified replacement is proposed.</w:t>
      </w:r>
    </w:p>
    <w:p w14:paraId="653300FE" w14:textId="77777777" w:rsidR="00A632C8" w:rsidRPr="00F75840" w:rsidRDefault="00A632C8" w:rsidP="00A632C8">
      <w:pPr>
        <w:pStyle w:val="ListParagraph"/>
        <w:ind w:left="360"/>
        <w:jc w:val="both"/>
      </w:pPr>
    </w:p>
    <w:p w14:paraId="70B9ED2F" w14:textId="475EAE0C" w:rsidR="00A632C8" w:rsidRDefault="00A632C8" w:rsidP="00007DE4">
      <w:pPr>
        <w:pStyle w:val="ListParagraph"/>
        <w:numPr>
          <w:ilvl w:val="1"/>
          <w:numId w:val="21"/>
        </w:numPr>
        <w:jc w:val="both"/>
      </w:pPr>
      <w:r>
        <w:lastRenderedPageBreak/>
        <w:t>If any Key Personnel become unavailable due to resignation, illness, or other circumstances outside the Contractor’s reasonable control, the Contractor must provide an equally qualified replacement in time to avoid service disruption. Replacement personnel may not be charged at a rate higher than their predecessor.</w:t>
      </w:r>
    </w:p>
    <w:p w14:paraId="27CD06E8" w14:textId="77777777" w:rsidR="00A632C8" w:rsidRDefault="00A632C8" w:rsidP="00796E3D">
      <w:pPr>
        <w:pStyle w:val="ListParagraph"/>
        <w:ind w:left="1008"/>
        <w:jc w:val="both"/>
      </w:pPr>
    </w:p>
    <w:p w14:paraId="7F8EBC3B" w14:textId="77777777" w:rsidR="00A632C8" w:rsidRDefault="00A632C8" w:rsidP="00007DE4">
      <w:pPr>
        <w:pStyle w:val="ListParagraph"/>
        <w:numPr>
          <w:ilvl w:val="1"/>
          <w:numId w:val="21"/>
        </w:numPr>
        <w:jc w:val="both"/>
      </w:pPr>
      <w:r>
        <w:t>Additional Key Personnel are those positions identified as such in the Contractor’s Technical Proposal and agreed upon in writing by the parties at contract execution. All Key Personnel positions, including those beyond the Project Lead, are subject to the prior written consent and replacement requirements set forth in this section.</w:t>
      </w:r>
    </w:p>
    <w:p w14:paraId="1C3ADB2D" w14:textId="77777777" w:rsidR="004E1972" w:rsidRDefault="004E1972" w:rsidP="004E1972">
      <w:pPr>
        <w:pStyle w:val="ListParagraph"/>
      </w:pPr>
    </w:p>
    <w:p w14:paraId="11419697" w14:textId="784EB4E0" w:rsidR="004E1972" w:rsidRDefault="004E1972" w:rsidP="00007DE4">
      <w:pPr>
        <w:pStyle w:val="ListParagraph"/>
        <w:numPr>
          <w:ilvl w:val="1"/>
          <w:numId w:val="21"/>
        </w:numPr>
        <w:jc w:val="both"/>
      </w:pPr>
      <w:r>
        <w:t>Key Personnel Full-Time Annual Salaries and FTE allocations are subject to the staffing commitment requirements in Section 8 (Staffing Commitments).</w:t>
      </w:r>
    </w:p>
    <w:p w14:paraId="21D82E5A" w14:textId="77777777" w:rsidR="00A632C8" w:rsidRPr="00F75840" w:rsidRDefault="00A632C8" w:rsidP="00A632C8">
      <w:pPr>
        <w:jc w:val="both"/>
      </w:pPr>
    </w:p>
    <w:p w14:paraId="5478E1A0" w14:textId="77777777" w:rsidR="00A632C8" w:rsidRDefault="00A632C8" w:rsidP="00007DE4">
      <w:pPr>
        <w:pStyle w:val="ListParagraph"/>
        <w:numPr>
          <w:ilvl w:val="0"/>
          <w:numId w:val="21"/>
        </w:numPr>
        <w:jc w:val="both"/>
        <w:rPr>
          <w:b/>
          <w:bCs/>
        </w:rPr>
      </w:pPr>
      <w:r>
        <w:rPr>
          <w:b/>
          <w:bCs/>
        </w:rPr>
        <w:t>Budget Management</w:t>
      </w:r>
    </w:p>
    <w:p w14:paraId="3C748C78" w14:textId="24FBF9F7" w:rsidR="00A632C8" w:rsidRDefault="00A632C8" w:rsidP="00A632C8">
      <w:pPr>
        <w:pStyle w:val="ListParagraph"/>
        <w:ind w:left="360"/>
        <w:jc w:val="both"/>
      </w:pPr>
      <w:r>
        <w:t>The Contractor must manage the SCSEP budget within the allocated federal funding amount for each program year. The federal Administration cost cap is fifteen percent (15%) of total funding, of which nine percent (9%) is allocated to the Contractor and six percent (6%) is retained by ICOA. The Contractor's actual Administration costs charged to this Contract must not exceed nine percent (9%) of total federal funding in any program year. Specific requirements include:</w:t>
      </w:r>
    </w:p>
    <w:p w14:paraId="5E3DAD29" w14:textId="77777777" w:rsidR="00A632C8" w:rsidRPr="00354728" w:rsidRDefault="00A632C8" w:rsidP="00A632C8">
      <w:pPr>
        <w:jc w:val="both"/>
      </w:pPr>
    </w:p>
    <w:p w14:paraId="3857542B" w14:textId="77777777" w:rsidR="004E1972" w:rsidRDefault="00A632C8" w:rsidP="005165E8">
      <w:pPr>
        <w:pStyle w:val="ListParagraph"/>
        <w:numPr>
          <w:ilvl w:val="1"/>
          <w:numId w:val="21"/>
        </w:numPr>
        <w:ind w:left="900" w:hanging="540"/>
        <w:jc w:val="both"/>
      </w:pPr>
      <w:r>
        <w:t>Operate within the approved budget for each program year;</w:t>
      </w:r>
    </w:p>
    <w:p w14:paraId="14233A1D" w14:textId="77777777" w:rsidR="004E1972" w:rsidRDefault="004E1972" w:rsidP="004E1972">
      <w:pPr>
        <w:pStyle w:val="ListParagraph"/>
        <w:ind w:left="1008"/>
        <w:jc w:val="both"/>
      </w:pPr>
    </w:p>
    <w:p w14:paraId="0944BFF4" w14:textId="0844FD7D" w:rsidR="004E1972" w:rsidRDefault="004E1972" w:rsidP="005165E8">
      <w:pPr>
        <w:pStyle w:val="ListParagraph"/>
        <w:numPr>
          <w:ilvl w:val="1"/>
          <w:numId w:val="21"/>
        </w:numPr>
        <w:ind w:left="900" w:hanging="540"/>
        <w:jc w:val="both"/>
      </w:pPr>
      <w:r>
        <w:t>Monitor expenditures on an ongoing basis and submit a written strategy to ICOA if budget exceedances or significant underutilization are anticipated;</w:t>
      </w:r>
    </w:p>
    <w:p w14:paraId="79349CAA" w14:textId="77777777" w:rsidR="004E1972" w:rsidRDefault="004E1972" w:rsidP="005165E8">
      <w:pPr>
        <w:pStyle w:val="ListParagraph"/>
        <w:ind w:left="900"/>
        <w:jc w:val="both"/>
      </w:pPr>
    </w:p>
    <w:p w14:paraId="2D84AE50" w14:textId="5998E5CE" w:rsidR="004E1972" w:rsidRDefault="004E1972" w:rsidP="005165E8">
      <w:pPr>
        <w:pStyle w:val="ListParagraph"/>
        <w:numPr>
          <w:ilvl w:val="1"/>
          <w:numId w:val="21"/>
        </w:numPr>
        <w:ind w:left="900" w:hanging="540"/>
        <w:jc w:val="both"/>
      </w:pPr>
      <w:r>
        <w:t>Submit reimbursement requests for all allowable costs in the three federal budget categories (Enrollee, Other Enrollee, and Administration) on the monthly schedule and in accordance with the procedure set out in Exhibit 3, Section 6 (Billing Procedure);</w:t>
      </w:r>
    </w:p>
    <w:p w14:paraId="6D223A3E" w14:textId="77777777" w:rsidR="004E1972" w:rsidRDefault="004E1972" w:rsidP="005165E8">
      <w:pPr>
        <w:pStyle w:val="ListParagraph"/>
        <w:ind w:left="900"/>
        <w:jc w:val="both"/>
      </w:pPr>
    </w:p>
    <w:p w14:paraId="561FEF27" w14:textId="4B1756B6" w:rsidR="004E1972" w:rsidRDefault="004E1972" w:rsidP="005165E8">
      <w:pPr>
        <w:pStyle w:val="ListParagraph"/>
        <w:numPr>
          <w:ilvl w:val="1"/>
          <w:numId w:val="21"/>
        </w:numPr>
        <w:ind w:left="900" w:hanging="540"/>
        <w:jc w:val="both"/>
      </w:pPr>
      <w:r>
        <w:t>Submit all reimbursement requests using ICOA's invoice tracking forms (see Exhibit 3, Section 6); and</w:t>
      </w:r>
    </w:p>
    <w:p w14:paraId="31F7E542" w14:textId="77777777" w:rsidR="004E1972" w:rsidRDefault="004E1972" w:rsidP="005165E8">
      <w:pPr>
        <w:pStyle w:val="ListParagraph"/>
        <w:ind w:left="900"/>
        <w:jc w:val="both"/>
      </w:pPr>
    </w:p>
    <w:p w14:paraId="1473D71A" w14:textId="0083F128" w:rsidR="00A632C8" w:rsidRPr="005165E8" w:rsidRDefault="004E1972" w:rsidP="005165E8">
      <w:pPr>
        <w:pStyle w:val="ListParagraph"/>
        <w:numPr>
          <w:ilvl w:val="1"/>
          <w:numId w:val="21"/>
        </w:numPr>
        <w:ind w:left="900" w:hanging="540"/>
        <w:jc w:val="both"/>
      </w:pPr>
      <w:r>
        <w:t>Honor the Staffing Rates (Section 1) submitted in Submittal Form C as binding maximum reimbursable rates for each named position, in accordance with Section 8 (Staffing Commitments).</w:t>
      </w:r>
    </w:p>
    <w:p w14:paraId="1478019A" w14:textId="77777777" w:rsidR="004E1972" w:rsidRDefault="004E1972" w:rsidP="004E1972">
      <w:pPr>
        <w:pStyle w:val="ListParagraph"/>
        <w:ind w:left="1008"/>
        <w:jc w:val="both"/>
        <w:rPr>
          <w:b/>
          <w:bCs/>
        </w:rPr>
      </w:pPr>
    </w:p>
    <w:p w14:paraId="3B0FC348" w14:textId="77777777" w:rsidR="00A632C8" w:rsidRDefault="00A632C8" w:rsidP="00007DE4">
      <w:pPr>
        <w:pStyle w:val="ListParagraph"/>
        <w:numPr>
          <w:ilvl w:val="0"/>
          <w:numId w:val="21"/>
        </w:numPr>
        <w:jc w:val="both"/>
        <w:rPr>
          <w:b/>
          <w:bCs/>
        </w:rPr>
      </w:pPr>
      <w:r>
        <w:rPr>
          <w:b/>
          <w:bCs/>
        </w:rPr>
        <w:t>Local Match</w:t>
      </w:r>
    </w:p>
    <w:p w14:paraId="66C37BE4" w14:textId="390D9CCA" w:rsidR="00A632C8" w:rsidRPr="00F75840" w:rsidRDefault="00EE5EC0" w:rsidP="00A632C8">
      <w:pPr>
        <w:pStyle w:val="ListParagraph"/>
        <w:ind w:left="360"/>
        <w:jc w:val="both"/>
        <w:rPr>
          <w:b/>
          <w:bCs/>
        </w:rPr>
      </w:pPr>
      <w:r>
        <w:t>For each program year, the Contractor must provide a non-federal match equal to at least 10% of total program costs (the federal share divided by 0.90, less the federal share) through non-federal funding sources, consistent with 2 CFR 200.306 and 2 CFR Part 2900. Requirements include:</w:t>
      </w:r>
    </w:p>
    <w:p w14:paraId="7474D8C1" w14:textId="77777777" w:rsidR="00A632C8" w:rsidRPr="00F75840" w:rsidRDefault="00A632C8" w:rsidP="00A632C8">
      <w:pPr>
        <w:pStyle w:val="ListParagraph"/>
        <w:ind w:left="360"/>
        <w:jc w:val="both"/>
        <w:rPr>
          <w:b/>
          <w:bCs/>
        </w:rPr>
      </w:pPr>
    </w:p>
    <w:p w14:paraId="41AC58C7" w14:textId="77777777" w:rsidR="00A632C8" w:rsidRDefault="00A632C8" w:rsidP="005165E8">
      <w:pPr>
        <w:pStyle w:val="ListParagraph"/>
        <w:numPr>
          <w:ilvl w:val="1"/>
          <w:numId w:val="21"/>
        </w:numPr>
        <w:ind w:left="900" w:hanging="540"/>
        <w:jc w:val="both"/>
      </w:pPr>
      <w:r>
        <w:t>Identify and document the source(s) of non-federal matching funds prior to the start of each program year.</w:t>
      </w:r>
    </w:p>
    <w:p w14:paraId="691A0E4D" w14:textId="77777777" w:rsidR="00796E3D" w:rsidRPr="00F75840" w:rsidRDefault="00796E3D" w:rsidP="005165E8">
      <w:pPr>
        <w:pStyle w:val="ListParagraph"/>
        <w:ind w:left="900"/>
        <w:jc w:val="both"/>
      </w:pPr>
    </w:p>
    <w:p w14:paraId="0BD69D18" w14:textId="77777777" w:rsidR="00A632C8" w:rsidRDefault="00A632C8" w:rsidP="005165E8">
      <w:pPr>
        <w:pStyle w:val="ListParagraph"/>
        <w:numPr>
          <w:ilvl w:val="1"/>
          <w:numId w:val="21"/>
        </w:numPr>
        <w:ind w:left="900" w:hanging="540"/>
        <w:jc w:val="both"/>
      </w:pPr>
      <w:r>
        <w:t>Provide ICOA with the methodology used to calculate local match requirements no later than thirty (30) calendar days prior to the start of each program year, and update the methodology documentation whenever the source or calculation approach changes during the program year.</w:t>
      </w:r>
    </w:p>
    <w:p w14:paraId="476D9C40" w14:textId="77777777" w:rsidR="00796E3D" w:rsidRPr="00F75840" w:rsidRDefault="00796E3D" w:rsidP="005165E8">
      <w:pPr>
        <w:pStyle w:val="ListParagraph"/>
        <w:ind w:left="900"/>
        <w:jc w:val="both"/>
      </w:pPr>
    </w:p>
    <w:p w14:paraId="43554A2E" w14:textId="77777777" w:rsidR="00A632C8" w:rsidRDefault="00A632C8" w:rsidP="005165E8">
      <w:pPr>
        <w:pStyle w:val="ListParagraph"/>
        <w:numPr>
          <w:ilvl w:val="1"/>
          <w:numId w:val="21"/>
        </w:numPr>
        <w:ind w:left="900" w:hanging="540"/>
        <w:jc w:val="both"/>
      </w:pPr>
      <w:r>
        <w:t>Track and report local match on each monthly invoice submission.</w:t>
      </w:r>
    </w:p>
    <w:p w14:paraId="451A80FC" w14:textId="77777777" w:rsidR="00796E3D" w:rsidRPr="00F75840" w:rsidRDefault="00796E3D" w:rsidP="005165E8">
      <w:pPr>
        <w:pStyle w:val="ListParagraph"/>
        <w:ind w:left="900"/>
        <w:jc w:val="both"/>
      </w:pPr>
    </w:p>
    <w:p w14:paraId="3A0BA3D9" w14:textId="77777777" w:rsidR="00A632C8" w:rsidRPr="00F75840" w:rsidRDefault="00A632C8" w:rsidP="005165E8">
      <w:pPr>
        <w:pStyle w:val="ListParagraph"/>
        <w:numPr>
          <w:ilvl w:val="1"/>
          <w:numId w:val="21"/>
        </w:numPr>
        <w:ind w:left="900" w:hanging="540"/>
        <w:jc w:val="both"/>
      </w:pPr>
      <w:r>
        <w:t>Ensure local match documentation is available for audit and data validation review.</w:t>
      </w:r>
    </w:p>
    <w:p w14:paraId="6B998D34" w14:textId="77777777" w:rsidR="00A632C8" w:rsidRPr="00F75840" w:rsidRDefault="00A632C8" w:rsidP="00A632C8">
      <w:pPr>
        <w:pStyle w:val="ListParagraph"/>
        <w:ind w:left="360"/>
        <w:jc w:val="both"/>
      </w:pPr>
    </w:p>
    <w:p w14:paraId="52073B8A" w14:textId="77777777" w:rsidR="00A632C8" w:rsidRDefault="00A632C8" w:rsidP="00007DE4">
      <w:pPr>
        <w:pStyle w:val="ListParagraph"/>
        <w:numPr>
          <w:ilvl w:val="0"/>
          <w:numId w:val="21"/>
        </w:numPr>
        <w:jc w:val="both"/>
        <w:rPr>
          <w:b/>
          <w:bCs/>
        </w:rPr>
      </w:pPr>
      <w:r>
        <w:rPr>
          <w:b/>
          <w:bCs/>
        </w:rPr>
        <w:t>Data Access and Validation Support</w:t>
      </w:r>
    </w:p>
    <w:p w14:paraId="7A840415" w14:textId="77777777" w:rsidR="00A632C8" w:rsidRDefault="00A632C8" w:rsidP="00A632C8">
      <w:pPr>
        <w:pStyle w:val="ListParagraph"/>
        <w:ind w:left="360"/>
        <w:jc w:val="both"/>
      </w:pPr>
      <w:r>
        <w:t>The Contractor must make all SCSEP program files and records available to ICOA upon request for the purposes of data validation, programmatic review, and audit. Specifically:</w:t>
      </w:r>
    </w:p>
    <w:p w14:paraId="359D897F" w14:textId="77777777" w:rsidR="00A632C8" w:rsidRPr="00F85734" w:rsidRDefault="00A632C8" w:rsidP="00A632C8">
      <w:pPr>
        <w:pStyle w:val="ListParagraph"/>
        <w:ind w:left="360"/>
        <w:jc w:val="both"/>
      </w:pPr>
    </w:p>
    <w:p w14:paraId="77B0AE51" w14:textId="1F1F8EB0" w:rsidR="00A632C8" w:rsidRDefault="00A632C8" w:rsidP="005165E8">
      <w:pPr>
        <w:pStyle w:val="ListParagraph"/>
        <w:numPr>
          <w:ilvl w:val="1"/>
          <w:numId w:val="21"/>
        </w:numPr>
        <w:ind w:left="900" w:hanging="540"/>
        <w:jc w:val="both"/>
      </w:pPr>
      <w:r>
        <w:t>All requested Participant files, Host Agency files, and other program documentation must be provided to ICOA within five (5) business days of the request.</w:t>
      </w:r>
    </w:p>
    <w:p w14:paraId="79858494" w14:textId="77777777" w:rsidR="005D0881" w:rsidRPr="00F85734" w:rsidRDefault="005D0881" w:rsidP="005165E8">
      <w:pPr>
        <w:pStyle w:val="ListParagraph"/>
        <w:ind w:left="900"/>
        <w:jc w:val="both"/>
      </w:pPr>
    </w:p>
    <w:p w14:paraId="501C49D1" w14:textId="15C88467" w:rsidR="00A632C8" w:rsidRDefault="00A632C8" w:rsidP="005165E8">
      <w:pPr>
        <w:pStyle w:val="ListParagraph"/>
        <w:numPr>
          <w:ilvl w:val="1"/>
          <w:numId w:val="21"/>
        </w:numPr>
        <w:ind w:left="900" w:hanging="540"/>
        <w:jc w:val="both"/>
      </w:pPr>
      <w:r>
        <w:lastRenderedPageBreak/>
        <w:t>The Contractor must support ICOA's quarterly data validation process, which may include an on-site review of a USDOL system-generated sample of Participants and host agencies.</w:t>
      </w:r>
    </w:p>
    <w:p w14:paraId="2893D165" w14:textId="77777777" w:rsidR="005D0881" w:rsidRPr="00F85734" w:rsidRDefault="005D0881" w:rsidP="005165E8">
      <w:pPr>
        <w:pStyle w:val="ListParagraph"/>
        <w:ind w:left="900"/>
        <w:jc w:val="both"/>
      </w:pPr>
    </w:p>
    <w:p w14:paraId="6848C272" w14:textId="77777777" w:rsidR="00A632C8" w:rsidRPr="00F85734" w:rsidRDefault="00A632C8" w:rsidP="005165E8">
      <w:pPr>
        <w:pStyle w:val="ListParagraph"/>
        <w:numPr>
          <w:ilvl w:val="1"/>
          <w:numId w:val="21"/>
        </w:numPr>
        <w:ind w:left="900" w:hanging="540"/>
        <w:jc w:val="both"/>
      </w:pPr>
      <w:r>
        <w:t>The Contractor must support ICOA's annual programmatic review, including access to program records, staff interviews, and documentation of program procedures.</w:t>
      </w:r>
    </w:p>
    <w:p w14:paraId="4A58825B" w14:textId="77777777" w:rsidR="00A632C8" w:rsidRDefault="00A632C8" w:rsidP="00A632C8">
      <w:pPr>
        <w:pStyle w:val="ListParagraph"/>
        <w:ind w:left="360"/>
        <w:jc w:val="both"/>
        <w:rPr>
          <w:b/>
          <w:bCs/>
        </w:rPr>
      </w:pPr>
    </w:p>
    <w:p w14:paraId="103C3016" w14:textId="77777777" w:rsidR="00A632C8" w:rsidRDefault="00A632C8" w:rsidP="00007DE4">
      <w:pPr>
        <w:pStyle w:val="ListParagraph"/>
        <w:numPr>
          <w:ilvl w:val="0"/>
          <w:numId w:val="21"/>
        </w:numPr>
        <w:jc w:val="both"/>
        <w:rPr>
          <w:b/>
          <w:bCs/>
        </w:rPr>
      </w:pPr>
      <w:r>
        <w:rPr>
          <w:b/>
          <w:bCs/>
        </w:rPr>
        <w:t>Communication and Coordination with ICOA</w:t>
      </w:r>
    </w:p>
    <w:p w14:paraId="700D67AC" w14:textId="77777777" w:rsidR="00A632C8" w:rsidRDefault="00A632C8" w:rsidP="00A632C8">
      <w:pPr>
        <w:pStyle w:val="ListParagraph"/>
        <w:ind w:left="360"/>
        <w:jc w:val="both"/>
      </w:pPr>
      <w:r>
        <w:t>The Contractor must maintain open, cooperative, and transparent communication with ICOA throughout the term of the Contract. Specific requirements include:</w:t>
      </w:r>
    </w:p>
    <w:p w14:paraId="4D4F2DB7" w14:textId="77777777" w:rsidR="00A632C8" w:rsidRPr="00BF412C" w:rsidRDefault="00A632C8" w:rsidP="00A632C8">
      <w:pPr>
        <w:pStyle w:val="ListParagraph"/>
        <w:ind w:left="360"/>
        <w:jc w:val="both"/>
      </w:pPr>
    </w:p>
    <w:p w14:paraId="7199A59C" w14:textId="77777777" w:rsidR="00A632C8" w:rsidRDefault="00A632C8" w:rsidP="005165E8">
      <w:pPr>
        <w:pStyle w:val="ListParagraph"/>
        <w:numPr>
          <w:ilvl w:val="1"/>
          <w:numId w:val="21"/>
        </w:numPr>
        <w:ind w:left="900" w:hanging="540"/>
        <w:jc w:val="both"/>
      </w:pPr>
      <w:r>
        <w:t>Attend monthly program meetings with ICOA staff;</w:t>
      </w:r>
    </w:p>
    <w:p w14:paraId="2AA2C94C" w14:textId="77777777" w:rsidR="00796E3D" w:rsidRDefault="00796E3D" w:rsidP="005165E8">
      <w:pPr>
        <w:pStyle w:val="ListParagraph"/>
        <w:ind w:left="900"/>
        <w:jc w:val="both"/>
      </w:pPr>
    </w:p>
    <w:p w14:paraId="2E735399" w14:textId="77777777" w:rsidR="00A632C8" w:rsidRDefault="00A632C8" w:rsidP="005165E8">
      <w:pPr>
        <w:pStyle w:val="ListParagraph"/>
        <w:numPr>
          <w:ilvl w:val="1"/>
          <w:numId w:val="21"/>
        </w:numPr>
        <w:ind w:left="900" w:hanging="540"/>
        <w:jc w:val="both"/>
      </w:pPr>
      <w:r>
        <w:t>Attend quarterly financial meetings with ICOA staff;</w:t>
      </w:r>
    </w:p>
    <w:p w14:paraId="2B71247A" w14:textId="77777777" w:rsidR="00796E3D" w:rsidRDefault="00796E3D" w:rsidP="005165E8">
      <w:pPr>
        <w:pStyle w:val="ListParagraph"/>
        <w:ind w:left="900"/>
        <w:jc w:val="both"/>
      </w:pPr>
    </w:p>
    <w:p w14:paraId="195AED3A" w14:textId="77777777" w:rsidR="00A632C8" w:rsidRDefault="00A632C8" w:rsidP="005165E8">
      <w:pPr>
        <w:pStyle w:val="ListParagraph"/>
        <w:numPr>
          <w:ilvl w:val="1"/>
          <w:numId w:val="21"/>
        </w:numPr>
        <w:ind w:left="900" w:hanging="540"/>
        <w:jc w:val="both"/>
      </w:pPr>
      <w:r>
        <w:t>Respond to ICOA requests for information, documentation, or clarification within five (5) business days of receipt, unless a different timeframe is specified by ICOA; and</w:t>
      </w:r>
    </w:p>
    <w:p w14:paraId="11119483" w14:textId="77777777" w:rsidR="00796E3D" w:rsidRDefault="00796E3D" w:rsidP="005165E8">
      <w:pPr>
        <w:pStyle w:val="ListParagraph"/>
        <w:ind w:left="900"/>
        <w:jc w:val="both"/>
      </w:pPr>
    </w:p>
    <w:p w14:paraId="504B78FA" w14:textId="320DB89E" w:rsidR="00A632C8" w:rsidRPr="005165E8" w:rsidRDefault="00A632C8" w:rsidP="005165E8">
      <w:pPr>
        <w:pStyle w:val="ListParagraph"/>
        <w:numPr>
          <w:ilvl w:val="1"/>
          <w:numId w:val="21"/>
        </w:numPr>
        <w:ind w:left="900" w:hanging="540"/>
        <w:jc w:val="both"/>
      </w:pPr>
      <w:r>
        <w:t>Notify ICOA within two (2) business days of becoming aware of any issues, incidents, or developments that may affect program performance, Participant safety, or federal compliance.</w:t>
      </w:r>
    </w:p>
    <w:p w14:paraId="7BC4A711" w14:textId="77777777" w:rsidR="00796E3D" w:rsidRPr="00A81791" w:rsidRDefault="00796E3D" w:rsidP="00A632C8">
      <w:pPr>
        <w:jc w:val="both"/>
        <w:rPr>
          <w:b/>
          <w:bCs/>
        </w:rPr>
      </w:pPr>
    </w:p>
    <w:p w14:paraId="3D774077" w14:textId="77777777" w:rsidR="00A632C8" w:rsidRDefault="00A632C8" w:rsidP="00007DE4">
      <w:pPr>
        <w:pStyle w:val="ListParagraph"/>
        <w:numPr>
          <w:ilvl w:val="0"/>
          <w:numId w:val="21"/>
        </w:numPr>
        <w:jc w:val="both"/>
        <w:rPr>
          <w:b/>
          <w:bCs/>
        </w:rPr>
      </w:pPr>
      <w:r>
        <w:rPr>
          <w:b/>
          <w:bCs/>
        </w:rPr>
        <w:t>Coordination with External Partners</w:t>
      </w:r>
    </w:p>
    <w:p w14:paraId="22F0F2F8" w14:textId="18618014" w:rsidR="00A632C8" w:rsidRDefault="00A632C8" w:rsidP="00A632C8">
      <w:pPr>
        <w:pStyle w:val="ListParagraph"/>
        <w:ind w:left="360"/>
        <w:jc w:val="both"/>
      </w:pPr>
      <w:r>
        <w:t>The Contractor must actively coordinate with the following entities to support Participant access to a broad range of employment and support services:</w:t>
      </w:r>
    </w:p>
    <w:p w14:paraId="10A5D07D" w14:textId="77777777" w:rsidR="00A632C8" w:rsidRPr="00354728" w:rsidRDefault="00A632C8" w:rsidP="00A632C8">
      <w:pPr>
        <w:pStyle w:val="ListParagraph"/>
        <w:ind w:left="360"/>
        <w:jc w:val="both"/>
      </w:pPr>
    </w:p>
    <w:p w14:paraId="443C0E52" w14:textId="77777777" w:rsidR="00A632C8" w:rsidRDefault="00A632C8" w:rsidP="005165E8">
      <w:pPr>
        <w:pStyle w:val="ListParagraph"/>
        <w:numPr>
          <w:ilvl w:val="1"/>
          <w:numId w:val="21"/>
        </w:numPr>
        <w:ind w:left="900" w:hanging="540"/>
        <w:jc w:val="both"/>
      </w:pPr>
      <w:r>
        <w:t>U.S. Department of Labor (USDOL) and applicable regional offices;</w:t>
      </w:r>
    </w:p>
    <w:p w14:paraId="34F06DEA" w14:textId="77777777" w:rsidR="00796E3D" w:rsidRDefault="00796E3D" w:rsidP="005165E8">
      <w:pPr>
        <w:pStyle w:val="ListParagraph"/>
        <w:ind w:left="900"/>
        <w:jc w:val="both"/>
      </w:pPr>
    </w:p>
    <w:p w14:paraId="4EFE417F" w14:textId="77777777" w:rsidR="00A632C8" w:rsidRDefault="00A632C8" w:rsidP="005165E8">
      <w:pPr>
        <w:pStyle w:val="ListParagraph"/>
        <w:numPr>
          <w:ilvl w:val="1"/>
          <w:numId w:val="21"/>
        </w:numPr>
        <w:ind w:left="900" w:hanging="540"/>
        <w:jc w:val="both"/>
      </w:pPr>
      <w:r>
        <w:t>WIOA Title I service providers and American Job Centers (One-Stop Career Centers);</w:t>
      </w:r>
    </w:p>
    <w:p w14:paraId="01F316D8" w14:textId="77777777" w:rsidR="00796E3D" w:rsidRDefault="00796E3D" w:rsidP="005165E8">
      <w:pPr>
        <w:pStyle w:val="ListParagraph"/>
        <w:ind w:left="900"/>
        <w:jc w:val="both"/>
      </w:pPr>
    </w:p>
    <w:p w14:paraId="0B237996" w14:textId="77777777" w:rsidR="00A632C8" w:rsidRDefault="00A632C8" w:rsidP="005165E8">
      <w:pPr>
        <w:pStyle w:val="ListParagraph"/>
        <w:numPr>
          <w:ilvl w:val="1"/>
          <w:numId w:val="21"/>
        </w:numPr>
        <w:ind w:left="900" w:hanging="540"/>
        <w:jc w:val="both"/>
      </w:pPr>
      <w:r>
        <w:t>Area Agencies on Aging (AAAs);</w:t>
      </w:r>
    </w:p>
    <w:p w14:paraId="15897912" w14:textId="77777777" w:rsidR="00796E3D" w:rsidRDefault="00796E3D" w:rsidP="005165E8">
      <w:pPr>
        <w:pStyle w:val="ListParagraph"/>
        <w:ind w:left="900"/>
        <w:jc w:val="both"/>
      </w:pPr>
    </w:p>
    <w:p w14:paraId="6AFC17CD" w14:textId="77777777" w:rsidR="00A632C8" w:rsidRDefault="00A632C8" w:rsidP="005165E8">
      <w:pPr>
        <w:pStyle w:val="ListParagraph"/>
        <w:numPr>
          <w:ilvl w:val="1"/>
          <w:numId w:val="21"/>
        </w:numPr>
        <w:ind w:left="900" w:hanging="540"/>
        <w:jc w:val="both"/>
      </w:pPr>
      <w:r>
        <w:t>Aging and Disability Resource Centers (ADRCs);</w:t>
      </w:r>
    </w:p>
    <w:p w14:paraId="7AF720F3" w14:textId="77777777" w:rsidR="00796E3D" w:rsidRDefault="00796E3D" w:rsidP="005165E8">
      <w:pPr>
        <w:pStyle w:val="ListParagraph"/>
        <w:ind w:left="900"/>
        <w:jc w:val="both"/>
      </w:pPr>
    </w:p>
    <w:p w14:paraId="642A0909" w14:textId="77777777" w:rsidR="00A632C8" w:rsidRDefault="00A632C8" w:rsidP="005165E8">
      <w:pPr>
        <w:pStyle w:val="ListParagraph"/>
        <w:numPr>
          <w:ilvl w:val="1"/>
          <w:numId w:val="21"/>
        </w:numPr>
        <w:ind w:left="900" w:hanging="540"/>
        <w:jc w:val="both"/>
      </w:pPr>
      <w:r>
        <w:t>Workforce Development Council of Idaho; and</w:t>
      </w:r>
    </w:p>
    <w:p w14:paraId="58F3531E" w14:textId="77777777" w:rsidR="00796E3D" w:rsidRDefault="00796E3D" w:rsidP="005165E8">
      <w:pPr>
        <w:pStyle w:val="ListParagraph"/>
        <w:ind w:left="900"/>
        <w:jc w:val="both"/>
      </w:pPr>
    </w:p>
    <w:p w14:paraId="3BA977F6" w14:textId="645C346F" w:rsidR="00A632C8" w:rsidRPr="005165E8" w:rsidRDefault="00A632C8" w:rsidP="005165E8">
      <w:pPr>
        <w:pStyle w:val="ListParagraph"/>
        <w:numPr>
          <w:ilvl w:val="1"/>
          <w:numId w:val="21"/>
        </w:numPr>
        <w:ind w:left="900" w:hanging="540"/>
        <w:jc w:val="both"/>
      </w:pPr>
      <w:r>
        <w:t>Other community organizations as appropriate to support Participant employment goals.</w:t>
      </w:r>
    </w:p>
    <w:p w14:paraId="6F6BDC1A" w14:textId="77777777" w:rsidR="00A632C8" w:rsidRDefault="00A632C8" w:rsidP="00A632C8">
      <w:pPr>
        <w:pStyle w:val="ListParagraph"/>
        <w:ind w:left="1008"/>
        <w:jc w:val="both"/>
        <w:rPr>
          <w:b/>
          <w:bCs/>
        </w:rPr>
      </w:pPr>
    </w:p>
    <w:p w14:paraId="17E7B314" w14:textId="77777777" w:rsidR="00A632C8" w:rsidRDefault="00A632C8" w:rsidP="00007DE4">
      <w:pPr>
        <w:pStyle w:val="ListParagraph"/>
        <w:numPr>
          <w:ilvl w:val="0"/>
          <w:numId w:val="21"/>
        </w:numPr>
        <w:jc w:val="both"/>
        <w:rPr>
          <w:b/>
          <w:bCs/>
        </w:rPr>
      </w:pPr>
      <w:r>
        <w:rPr>
          <w:b/>
          <w:bCs/>
        </w:rPr>
        <w:t>Performance Measures</w:t>
      </w:r>
    </w:p>
    <w:p w14:paraId="2ECDD3D1" w14:textId="77777777" w:rsidR="00A632C8" w:rsidRDefault="00A632C8" w:rsidP="00A632C8">
      <w:pPr>
        <w:pStyle w:val="ListParagraph"/>
        <w:ind w:left="360"/>
        <w:jc w:val="both"/>
        <w:rPr>
          <w:b/>
          <w:bCs/>
        </w:rPr>
      </w:pPr>
    </w:p>
    <w:p w14:paraId="2943D2B1" w14:textId="2E3E2CC2" w:rsidR="00A632C8" w:rsidRPr="005165E8" w:rsidRDefault="00A632C8" w:rsidP="005165E8">
      <w:pPr>
        <w:pStyle w:val="ListParagraph"/>
        <w:numPr>
          <w:ilvl w:val="1"/>
          <w:numId w:val="21"/>
        </w:numPr>
        <w:ind w:left="900" w:hanging="540"/>
        <w:jc w:val="both"/>
      </w:pPr>
      <w:r>
        <w:t>The Contractor must meet or exceed the annual USDOL-established performance measures for each program year. Current performance targets are listed in Exhibit 2, Section 5.2. Targets are subject to annual revision by USDOL.</w:t>
      </w:r>
    </w:p>
    <w:p w14:paraId="38A5DFC2" w14:textId="77777777" w:rsidR="00796E3D" w:rsidRPr="005165E8" w:rsidRDefault="00796E3D" w:rsidP="005165E8">
      <w:pPr>
        <w:pStyle w:val="ListParagraph"/>
        <w:ind w:left="900"/>
        <w:jc w:val="both"/>
      </w:pPr>
    </w:p>
    <w:p w14:paraId="29F69B02" w14:textId="77777777" w:rsidR="00A632C8" w:rsidRPr="005165E8" w:rsidRDefault="00A632C8" w:rsidP="005165E8">
      <w:pPr>
        <w:pStyle w:val="ListParagraph"/>
        <w:numPr>
          <w:ilvl w:val="1"/>
          <w:numId w:val="21"/>
        </w:numPr>
        <w:ind w:left="900" w:hanging="540"/>
        <w:jc w:val="both"/>
      </w:pPr>
      <w:r>
        <w:t>If performance targets are not being met at any point during a program year, the Contractor must develop and submit a written Corrective Action Plan (CAP) to ICOA within thirty (30) calendar days of the date the deficiency is identified. For purposes of this Contract, a Corrective Action Plan is a USDOL-structured performance improvement plan as defined under 20 CFR Part 641 and applicable TEGLs, and is distinct from any state or agency contract administration corrective action processes. For purposes of this section, the deficiency is considered identified on the earlier of:</w:t>
      </w:r>
    </w:p>
    <w:p w14:paraId="74A552DF" w14:textId="77777777" w:rsidR="00A632C8" w:rsidRPr="005165E8" w:rsidRDefault="00A632C8" w:rsidP="005165E8">
      <w:pPr>
        <w:pStyle w:val="ListParagraph"/>
        <w:ind w:left="900"/>
        <w:jc w:val="both"/>
      </w:pPr>
    </w:p>
    <w:p w14:paraId="43CC0328" w14:textId="115419E9" w:rsidR="00895AFE" w:rsidRPr="005165E8" w:rsidRDefault="00A632C8" w:rsidP="005165E8">
      <w:pPr>
        <w:pStyle w:val="ListParagraph"/>
        <w:numPr>
          <w:ilvl w:val="1"/>
          <w:numId w:val="21"/>
        </w:numPr>
        <w:ind w:left="900" w:hanging="540"/>
        <w:jc w:val="both"/>
      </w:pPr>
      <w:r>
        <w:t>The date the Contractor becomes aware of the performance gap through its own monitoring; or</w:t>
      </w:r>
    </w:p>
    <w:p w14:paraId="7A91E3CD" w14:textId="77777777" w:rsidR="00421F8F" w:rsidRPr="005165E8" w:rsidRDefault="00421F8F" w:rsidP="005165E8">
      <w:pPr>
        <w:pStyle w:val="ListParagraph"/>
        <w:ind w:left="900"/>
        <w:jc w:val="both"/>
      </w:pPr>
    </w:p>
    <w:p w14:paraId="2E5F656C" w14:textId="77777777" w:rsidR="00A632C8" w:rsidRPr="00373A77" w:rsidRDefault="00A632C8" w:rsidP="005165E8">
      <w:pPr>
        <w:pStyle w:val="ListParagraph"/>
        <w:numPr>
          <w:ilvl w:val="1"/>
          <w:numId w:val="21"/>
        </w:numPr>
        <w:ind w:left="900" w:hanging="540"/>
        <w:jc w:val="both"/>
      </w:pPr>
      <w:r>
        <w:t>The date ICOA provides written notification to the Contractor of a performance concern.</w:t>
      </w:r>
    </w:p>
    <w:p w14:paraId="1CC2A16D" w14:textId="77777777" w:rsidR="00A632C8" w:rsidRPr="005165E8" w:rsidRDefault="00A632C8" w:rsidP="005165E8">
      <w:pPr>
        <w:pStyle w:val="ListParagraph"/>
        <w:ind w:left="900"/>
        <w:jc w:val="both"/>
      </w:pPr>
    </w:p>
    <w:p w14:paraId="71B7871F" w14:textId="77777777" w:rsidR="00A632C8" w:rsidRPr="005165E8" w:rsidRDefault="00A632C8" w:rsidP="005165E8">
      <w:pPr>
        <w:pStyle w:val="ListParagraph"/>
        <w:numPr>
          <w:ilvl w:val="1"/>
          <w:numId w:val="21"/>
        </w:numPr>
        <w:ind w:left="900" w:hanging="540"/>
        <w:jc w:val="both"/>
      </w:pPr>
      <w:r>
        <w:lastRenderedPageBreak/>
        <w:t>The CAP must identify the specific measure(s) at risk, a root cause analysis, and concrete steps and timelines to return to compliance.</w:t>
      </w:r>
    </w:p>
    <w:p w14:paraId="505378A1" w14:textId="77777777" w:rsidR="00796E3D" w:rsidRPr="005165E8" w:rsidRDefault="00796E3D" w:rsidP="005165E8">
      <w:pPr>
        <w:pStyle w:val="ListParagraph"/>
        <w:ind w:left="900"/>
        <w:jc w:val="both"/>
      </w:pPr>
    </w:p>
    <w:p w14:paraId="28C796C4" w14:textId="77777777" w:rsidR="00A632C8" w:rsidRPr="005165E8" w:rsidRDefault="00A632C8" w:rsidP="005165E8">
      <w:pPr>
        <w:pStyle w:val="ListParagraph"/>
        <w:numPr>
          <w:ilvl w:val="1"/>
          <w:numId w:val="21"/>
        </w:numPr>
        <w:ind w:left="900" w:hanging="540"/>
        <w:jc w:val="both"/>
      </w:pPr>
      <w:r>
        <w:t>Failure to meet performance metrics for two consecutive years may result in contract termination.</w:t>
      </w:r>
    </w:p>
    <w:p w14:paraId="7FB97EE2" w14:textId="77777777" w:rsidR="00A632C8" w:rsidRPr="00354728" w:rsidRDefault="00A632C8" w:rsidP="00A632C8">
      <w:pPr>
        <w:jc w:val="both"/>
      </w:pPr>
    </w:p>
    <w:p w14:paraId="0A45AF8C" w14:textId="77777777" w:rsidR="00A632C8" w:rsidRDefault="00A632C8" w:rsidP="00007DE4">
      <w:pPr>
        <w:pStyle w:val="ListParagraph"/>
        <w:numPr>
          <w:ilvl w:val="0"/>
          <w:numId w:val="21"/>
        </w:numPr>
        <w:jc w:val="both"/>
        <w:rPr>
          <w:b/>
          <w:bCs/>
        </w:rPr>
      </w:pPr>
      <w:r>
        <w:rPr>
          <w:b/>
          <w:bCs/>
        </w:rPr>
        <w:t>Reporting Requirements</w:t>
      </w:r>
    </w:p>
    <w:p w14:paraId="2E6C42AF" w14:textId="77777777" w:rsidR="00A632C8" w:rsidRPr="00354728" w:rsidRDefault="00A632C8" w:rsidP="00A632C8">
      <w:pPr>
        <w:pStyle w:val="ListParagraph"/>
        <w:ind w:left="360"/>
        <w:jc w:val="both"/>
      </w:pPr>
      <w:r>
        <w:t>The Contractor must submit all required reports accurately and on time. Required reports are described below.</w:t>
      </w:r>
    </w:p>
    <w:p w14:paraId="0A470F97" w14:textId="77777777" w:rsidR="00A632C8" w:rsidRDefault="00A632C8" w:rsidP="00A632C8">
      <w:pPr>
        <w:pStyle w:val="ListParagraph"/>
        <w:ind w:left="360"/>
        <w:jc w:val="both"/>
        <w:rPr>
          <w:b/>
          <w:bCs/>
        </w:rPr>
      </w:pPr>
    </w:p>
    <w:tbl>
      <w:tblPr>
        <w:tblStyle w:val="TableGrid"/>
        <w:tblW w:w="10503" w:type="dxa"/>
        <w:tblInd w:w="287" w:type="dxa"/>
        <w:tblLook w:val="04A0" w:firstRow="1" w:lastRow="0" w:firstColumn="1" w:lastColumn="0" w:noHBand="0" w:noVBand="1"/>
      </w:tblPr>
      <w:tblGrid>
        <w:gridCol w:w="2652"/>
        <w:gridCol w:w="2639"/>
        <w:gridCol w:w="2614"/>
        <w:gridCol w:w="2598"/>
      </w:tblGrid>
      <w:tr w:rsidR="00A632C8" w14:paraId="4AA1AC5F" w14:textId="77777777" w:rsidTr="002C7643">
        <w:trPr>
          <w:trHeight w:val="252"/>
        </w:trPr>
        <w:tc>
          <w:tcPr>
            <w:tcW w:w="2652" w:type="dxa"/>
            <w:shd w:val="clear" w:color="auto" w:fill="404040" w:themeFill="text1" w:themeFillTint="BF"/>
            <w:vAlign w:val="center"/>
          </w:tcPr>
          <w:p w14:paraId="632DC96D" w14:textId="77777777" w:rsidR="00A632C8" w:rsidRPr="0045728B" w:rsidRDefault="00A632C8" w:rsidP="002C7643">
            <w:pPr>
              <w:jc w:val="center"/>
              <w:rPr>
                <w:b/>
                <w:bCs/>
                <w:color w:val="FFFFFF" w:themeColor="background1"/>
              </w:rPr>
            </w:pPr>
            <w:r>
              <w:rPr>
                <w:b/>
                <w:bCs/>
                <w:color w:val="FFFFFF" w:themeColor="background1"/>
              </w:rPr>
              <w:t>Report</w:t>
            </w:r>
          </w:p>
        </w:tc>
        <w:tc>
          <w:tcPr>
            <w:tcW w:w="2639" w:type="dxa"/>
            <w:shd w:val="clear" w:color="auto" w:fill="404040" w:themeFill="text1" w:themeFillTint="BF"/>
            <w:vAlign w:val="center"/>
          </w:tcPr>
          <w:p w14:paraId="6E9555ED" w14:textId="77777777" w:rsidR="00A632C8" w:rsidRPr="0045728B" w:rsidRDefault="00A632C8" w:rsidP="002C7643">
            <w:pPr>
              <w:jc w:val="center"/>
              <w:rPr>
                <w:b/>
                <w:bCs/>
                <w:color w:val="FFFFFF" w:themeColor="background1"/>
              </w:rPr>
            </w:pPr>
            <w:r>
              <w:rPr>
                <w:b/>
                <w:bCs/>
                <w:color w:val="FFFFFF" w:themeColor="background1"/>
              </w:rPr>
              <w:t>Frequency</w:t>
            </w:r>
          </w:p>
        </w:tc>
        <w:tc>
          <w:tcPr>
            <w:tcW w:w="2614" w:type="dxa"/>
            <w:shd w:val="clear" w:color="auto" w:fill="404040" w:themeFill="text1" w:themeFillTint="BF"/>
          </w:tcPr>
          <w:p w14:paraId="720E648C" w14:textId="77777777" w:rsidR="00A632C8" w:rsidRDefault="00A632C8" w:rsidP="002C7643">
            <w:pPr>
              <w:jc w:val="center"/>
              <w:rPr>
                <w:b/>
                <w:bCs/>
                <w:color w:val="FFFFFF" w:themeColor="background1"/>
              </w:rPr>
            </w:pPr>
            <w:r>
              <w:rPr>
                <w:b/>
                <w:bCs/>
                <w:color w:val="FFFFFF" w:themeColor="background1"/>
              </w:rPr>
              <w:t>Due Date</w:t>
            </w:r>
          </w:p>
        </w:tc>
        <w:tc>
          <w:tcPr>
            <w:tcW w:w="2598" w:type="dxa"/>
            <w:shd w:val="clear" w:color="auto" w:fill="404040" w:themeFill="text1" w:themeFillTint="BF"/>
          </w:tcPr>
          <w:p w14:paraId="2D344E04" w14:textId="77777777" w:rsidR="00A632C8" w:rsidRDefault="00A632C8" w:rsidP="002C7643">
            <w:pPr>
              <w:jc w:val="center"/>
              <w:rPr>
                <w:b/>
                <w:bCs/>
                <w:color w:val="FFFFFF" w:themeColor="background1"/>
              </w:rPr>
            </w:pPr>
            <w:r>
              <w:rPr>
                <w:b/>
                <w:bCs/>
                <w:color w:val="FFFFFF" w:themeColor="background1"/>
              </w:rPr>
              <w:t>Submission Method</w:t>
            </w:r>
          </w:p>
        </w:tc>
      </w:tr>
      <w:tr w:rsidR="00A632C8" w14:paraId="76BF818D" w14:textId="77777777" w:rsidTr="007C41FC">
        <w:trPr>
          <w:trHeight w:val="412"/>
        </w:trPr>
        <w:tc>
          <w:tcPr>
            <w:tcW w:w="2652" w:type="dxa"/>
            <w:vAlign w:val="center"/>
          </w:tcPr>
          <w:p w14:paraId="375E85D7" w14:textId="77777777" w:rsidR="00A632C8" w:rsidRDefault="00A632C8" w:rsidP="002C7643">
            <w:pPr>
              <w:jc w:val="center"/>
            </w:pPr>
            <w:r>
              <w:t>Community Service Hours (Core 1)</w:t>
            </w:r>
          </w:p>
        </w:tc>
        <w:tc>
          <w:tcPr>
            <w:tcW w:w="2639" w:type="dxa"/>
            <w:vAlign w:val="center"/>
          </w:tcPr>
          <w:p w14:paraId="40414DF7" w14:textId="77777777" w:rsidR="00A632C8" w:rsidRDefault="00A632C8" w:rsidP="002C7643">
            <w:pPr>
              <w:jc w:val="center"/>
            </w:pPr>
            <w:r>
              <w:t>Quarterly</w:t>
            </w:r>
          </w:p>
        </w:tc>
        <w:tc>
          <w:tcPr>
            <w:tcW w:w="2614" w:type="dxa"/>
            <w:vAlign w:val="center"/>
          </w:tcPr>
          <w:p w14:paraId="2458D3CD" w14:textId="77777777" w:rsidR="00A632C8" w:rsidRDefault="00A632C8" w:rsidP="002C7643">
            <w:pPr>
              <w:jc w:val="center"/>
            </w:pPr>
            <w:r>
              <w:t>October 20, January 20, April 20, July 20</w:t>
            </w:r>
          </w:p>
        </w:tc>
        <w:tc>
          <w:tcPr>
            <w:tcW w:w="2598" w:type="dxa"/>
            <w:vAlign w:val="center"/>
          </w:tcPr>
          <w:p w14:paraId="7EC2157E" w14:textId="77777777" w:rsidR="00A632C8" w:rsidRDefault="00A632C8" w:rsidP="002C7643">
            <w:pPr>
              <w:jc w:val="center"/>
              <w:rPr>
                <w:rFonts w:ascii="Arial" w:eastAsia="Arial" w:hAnsi="Arial" w:cs="Arial"/>
                <w:sz w:val="20"/>
                <w:szCs w:val="20"/>
              </w:rPr>
            </w:pPr>
            <w:r>
              <w:t>GPMS direct entry</w:t>
            </w:r>
          </w:p>
        </w:tc>
      </w:tr>
      <w:tr w:rsidR="00A632C8" w14:paraId="1479276F" w14:textId="77777777" w:rsidTr="007C41FC">
        <w:trPr>
          <w:trHeight w:val="382"/>
        </w:trPr>
        <w:tc>
          <w:tcPr>
            <w:tcW w:w="2652" w:type="dxa"/>
            <w:vAlign w:val="center"/>
          </w:tcPr>
          <w:p w14:paraId="2BD9E4F3" w14:textId="77777777" w:rsidR="00A632C8" w:rsidRDefault="00A632C8" w:rsidP="002C7643">
            <w:pPr>
              <w:jc w:val="center"/>
            </w:pPr>
            <w:r>
              <w:t>Quarterly Status Report</w:t>
            </w:r>
          </w:p>
        </w:tc>
        <w:tc>
          <w:tcPr>
            <w:tcW w:w="2639" w:type="dxa"/>
            <w:vAlign w:val="center"/>
          </w:tcPr>
          <w:p w14:paraId="61311950" w14:textId="77777777" w:rsidR="00A632C8" w:rsidRDefault="00A632C8" w:rsidP="002C7643">
            <w:pPr>
              <w:jc w:val="center"/>
            </w:pPr>
            <w:r>
              <w:t>Quarterly</w:t>
            </w:r>
          </w:p>
        </w:tc>
        <w:tc>
          <w:tcPr>
            <w:tcW w:w="2614" w:type="dxa"/>
            <w:vAlign w:val="center"/>
          </w:tcPr>
          <w:p w14:paraId="33A50681" w14:textId="77777777" w:rsidR="00A632C8" w:rsidRDefault="00A632C8" w:rsidP="002C7643">
            <w:pPr>
              <w:jc w:val="center"/>
            </w:pPr>
            <w:r>
              <w:t>October 20, January 20, April 20, July 20</w:t>
            </w:r>
          </w:p>
        </w:tc>
        <w:tc>
          <w:tcPr>
            <w:tcW w:w="2598" w:type="dxa"/>
            <w:vAlign w:val="center"/>
          </w:tcPr>
          <w:p w14:paraId="5CF740AD" w14:textId="77777777" w:rsidR="00A632C8" w:rsidRDefault="00A632C8" w:rsidP="002C7643">
            <w:pPr>
              <w:jc w:val="center"/>
              <w:rPr>
                <w:rFonts w:ascii="Arial" w:eastAsia="Arial" w:hAnsi="Arial" w:cs="Arial"/>
                <w:sz w:val="20"/>
                <w:szCs w:val="20"/>
              </w:rPr>
            </w:pPr>
            <w:r>
              <w:t>ICOA template (see Section 10.2)</w:t>
            </w:r>
          </w:p>
        </w:tc>
      </w:tr>
      <w:tr w:rsidR="00A632C8" w14:paraId="04837BEE" w14:textId="77777777" w:rsidTr="007C41FC">
        <w:trPr>
          <w:trHeight w:val="382"/>
        </w:trPr>
        <w:tc>
          <w:tcPr>
            <w:tcW w:w="2652" w:type="dxa"/>
            <w:vAlign w:val="center"/>
          </w:tcPr>
          <w:p w14:paraId="06EA8719" w14:textId="77777777" w:rsidR="00A632C8" w:rsidRDefault="00A632C8" w:rsidP="002C7643">
            <w:pPr>
              <w:jc w:val="center"/>
            </w:pPr>
            <w:r>
              <w:t>Quarterly Program Report (GPMS flags &amp; issues)</w:t>
            </w:r>
          </w:p>
        </w:tc>
        <w:tc>
          <w:tcPr>
            <w:tcW w:w="2639" w:type="dxa"/>
            <w:vAlign w:val="center"/>
          </w:tcPr>
          <w:p w14:paraId="6E4D7F47" w14:textId="77777777" w:rsidR="00A632C8" w:rsidRDefault="00A632C8" w:rsidP="002C7643">
            <w:pPr>
              <w:jc w:val="center"/>
              <w:rPr>
                <w:rFonts w:ascii="Calibri" w:eastAsia="Calibri" w:hAnsi="Calibri" w:cs="Calibri"/>
              </w:rPr>
            </w:pPr>
            <w:r>
              <w:t>Quarterly</w:t>
            </w:r>
          </w:p>
        </w:tc>
        <w:tc>
          <w:tcPr>
            <w:tcW w:w="2614" w:type="dxa"/>
            <w:vAlign w:val="center"/>
          </w:tcPr>
          <w:p w14:paraId="2E18C5A6" w14:textId="77777777" w:rsidR="00A632C8" w:rsidRDefault="00A632C8" w:rsidP="002C7643">
            <w:pPr>
              <w:jc w:val="center"/>
              <w:rPr>
                <w:rFonts w:ascii="Calibri" w:eastAsia="Calibri" w:hAnsi="Calibri" w:cs="Calibri"/>
              </w:rPr>
            </w:pPr>
            <w:r>
              <w:t>No later than the 25th of the final month of each quarter</w:t>
            </w:r>
          </w:p>
        </w:tc>
        <w:tc>
          <w:tcPr>
            <w:tcW w:w="2598" w:type="dxa"/>
            <w:vAlign w:val="center"/>
          </w:tcPr>
          <w:p w14:paraId="076338B7" w14:textId="77777777" w:rsidR="00A632C8" w:rsidRDefault="00A632C8" w:rsidP="002C7643">
            <w:pPr>
              <w:jc w:val="center"/>
              <w:rPr>
                <w:rFonts w:ascii="Arial" w:eastAsia="Arial" w:hAnsi="Arial" w:cs="Arial"/>
                <w:sz w:val="20"/>
                <w:szCs w:val="20"/>
              </w:rPr>
            </w:pPr>
            <w:r>
              <w:t>Standalone PDF submitted directly to ICOA; copy also attached to following month’s invoice</w:t>
            </w:r>
          </w:p>
        </w:tc>
      </w:tr>
      <w:tr w:rsidR="00A632C8" w14:paraId="51DBC8DD" w14:textId="77777777" w:rsidTr="007C41FC">
        <w:trPr>
          <w:trHeight w:val="382"/>
        </w:trPr>
        <w:tc>
          <w:tcPr>
            <w:tcW w:w="2652" w:type="dxa"/>
            <w:vAlign w:val="center"/>
          </w:tcPr>
          <w:p w14:paraId="43361CD2" w14:textId="77777777" w:rsidR="00A632C8" w:rsidRDefault="00A632C8" w:rsidP="002C7643">
            <w:pPr>
              <w:jc w:val="center"/>
            </w:pPr>
            <w:r>
              <w:t>Monthly Reimbursement Request / Invoice</w:t>
            </w:r>
          </w:p>
        </w:tc>
        <w:tc>
          <w:tcPr>
            <w:tcW w:w="2639" w:type="dxa"/>
            <w:vAlign w:val="center"/>
          </w:tcPr>
          <w:p w14:paraId="0DFC8972" w14:textId="77777777" w:rsidR="00A632C8" w:rsidRDefault="00A632C8" w:rsidP="002C7643">
            <w:pPr>
              <w:jc w:val="center"/>
              <w:rPr>
                <w:rFonts w:ascii="Calibri" w:eastAsia="Calibri" w:hAnsi="Calibri" w:cs="Calibri"/>
              </w:rPr>
            </w:pPr>
            <w:r>
              <w:t>Monthly</w:t>
            </w:r>
          </w:p>
        </w:tc>
        <w:tc>
          <w:tcPr>
            <w:tcW w:w="2614" w:type="dxa"/>
            <w:vAlign w:val="center"/>
          </w:tcPr>
          <w:p w14:paraId="2C319622" w14:textId="77777777" w:rsidR="00A632C8" w:rsidRDefault="00A632C8" w:rsidP="002C7643">
            <w:pPr>
              <w:jc w:val="center"/>
              <w:rPr>
                <w:rFonts w:ascii="Calibri" w:eastAsia="Calibri" w:hAnsi="Calibri" w:cs="Calibri"/>
              </w:rPr>
            </w:pPr>
            <w:r>
              <w:t>By the 25th of the month following the close of each operating month</w:t>
            </w:r>
          </w:p>
        </w:tc>
        <w:tc>
          <w:tcPr>
            <w:tcW w:w="2598" w:type="dxa"/>
            <w:vAlign w:val="center"/>
          </w:tcPr>
          <w:p w14:paraId="05596747" w14:textId="77777777" w:rsidR="00A632C8" w:rsidRDefault="00A632C8" w:rsidP="002C7643">
            <w:pPr>
              <w:jc w:val="center"/>
              <w:rPr>
                <w:rFonts w:ascii="Arial" w:eastAsia="Arial" w:hAnsi="Arial" w:cs="Arial"/>
                <w:sz w:val="20"/>
                <w:szCs w:val="20"/>
              </w:rPr>
            </w:pPr>
            <w:r>
              <w:t>ICOA invoice tracking form</w:t>
            </w:r>
          </w:p>
        </w:tc>
      </w:tr>
    </w:tbl>
    <w:p w14:paraId="77B5975B" w14:textId="77777777" w:rsidR="00A632C8" w:rsidRDefault="00A632C8" w:rsidP="00A632C8">
      <w:pPr>
        <w:pStyle w:val="ListParagraph"/>
        <w:ind w:left="360"/>
        <w:jc w:val="both"/>
        <w:rPr>
          <w:b/>
          <w:bCs/>
        </w:rPr>
      </w:pPr>
    </w:p>
    <w:p w14:paraId="627C6B02" w14:textId="77777777" w:rsidR="00A632C8" w:rsidRDefault="00A632C8" w:rsidP="005165E8">
      <w:pPr>
        <w:pStyle w:val="ListParagraph"/>
        <w:numPr>
          <w:ilvl w:val="1"/>
          <w:numId w:val="21"/>
        </w:numPr>
        <w:ind w:left="900" w:hanging="540"/>
        <w:jc w:val="both"/>
        <w:rPr>
          <w:b/>
          <w:bCs/>
        </w:rPr>
      </w:pPr>
      <w:r>
        <w:rPr>
          <w:b/>
          <w:bCs/>
        </w:rPr>
        <w:t>Community Service Hours (Core 1 – GPMS Entry)</w:t>
      </w:r>
    </w:p>
    <w:p w14:paraId="5A22123A" w14:textId="046C49B8" w:rsidR="00A632C8" w:rsidRDefault="00A632C8" w:rsidP="005165E8">
      <w:pPr>
        <w:pStyle w:val="ListParagraph"/>
        <w:ind w:left="900"/>
        <w:jc w:val="both"/>
      </w:pPr>
      <w:r>
        <w:t>The Contractor must enter all Participant community service hours directly into GPMS by the quarterly deadlines listed above. The Contractor is responsible for clearing all GPMS data errors (Rejections and Data Quality flags) prior to each quarter-end to ensure accurate quarterly data.</w:t>
      </w:r>
    </w:p>
    <w:p w14:paraId="6822277D" w14:textId="77777777" w:rsidR="00A632C8" w:rsidRPr="00354728" w:rsidRDefault="00A632C8" w:rsidP="00A632C8">
      <w:pPr>
        <w:pStyle w:val="ListParagraph"/>
        <w:ind w:left="792"/>
        <w:jc w:val="both"/>
      </w:pPr>
    </w:p>
    <w:p w14:paraId="0151E03F" w14:textId="77777777" w:rsidR="00A632C8" w:rsidRDefault="00A632C8" w:rsidP="005165E8">
      <w:pPr>
        <w:pStyle w:val="ListParagraph"/>
        <w:numPr>
          <w:ilvl w:val="1"/>
          <w:numId w:val="21"/>
        </w:numPr>
        <w:ind w:left="900" w:hanging="540"/>
        <w:jc w:val="both"/>
        <w:rPr>
          <w:b/>
          <w:bCs/>
        </w:rPr>
      </w:pPr>
      <w:r>
        <w:rPr>
          <w:b/>
          <w:bCs/>
        </w:rPr>
        <w:t>Quarterly Status Report</w:t>
      </w:r>
    </w:p>
    <w:p w14:paraId="3D1491B3" w14:textId="77777777" w:rsidR="00A632C8" w:rsidRDefault="00A632C8" w:rsidP="005165E8">
      <w:pPr>
        <w:pStyle w:val="ListParagraph"/>
        <w:ind w:left="900"/>
        <w:jc w:val="both"/>
      </w:pPr>
      <w:r>
        <w:t>The Quarterly Status Report must identify whether the program is on track to meet each USDOL performance measure and must include a comment section addressing any issues and Corrective Action Plans in place. The report must be submitted using the ICOA-provided template and must address the following:</w:t>
      </w:r>
    </w:p>
    <w:p w14:paraId="59265E70" w14:textId="77777777" w:rsidR="00A632C8" w:rsidRPr="00354728" w:rsidRDefault="00A632C8" w:rsidP="00A632C8">
      <w:pPr>
        <w:pStyle w:val="ListParagraph"/>
        <w:ind w:left="792"/>
        <w:jc w:val="both"/>
      </w:pPr>
    </w:p>
    <w:p w14:paraId="3001CEE6" w14:textId="77777777" w:rsidR="00A632C8" w:rsidRDefault="00A632C8" w:rsidP="00373A77">
      <w:pPr>
        <w:pStyle w:val="ListParagraph"/>
        <w:numPr>
          <w:ilvl w:val="2"/>
          <w:numId w:val="21"/>
        </w:numPr>
        <w:ind w:left="1440" w:hanging="720"/>
        <w:jc w:val="both"/>
      </w:pPr>
      <w:r>
        <w:t>Summary of grant activities for the quarter;</w:t>
      </w:r>
    </w:p>
    <w:p w14:paraId="632E2CE3" w14:textId="77777777" w:rsidR="00421F8F" w:rsidRPr="00354728" w:rsidRDefault="00421F8F" w:rsidP="00421F8F">
      <w:pPr>
        <w:pStyle w:val="ListParagraph"/>
        <w:ind w:left="1350"/>
        <w:jc w:val="both"/>
      </w:pPr>
    </w:p>
    <w:p w14:paraId="506B09B9" w14:textId="77777777" w:rsidR="00A632C8" w:rsidRDefault="00A632C8" w:rsidP="00373A77">
      <w:pPr>
        <w:pStyle w:val="ListParagraph"/>
        <w:numPr>
          <w:ilvl w:val="2"/>
          <w:numId w:val="21"/>
        </w:numPr>
        <w:ind w:left="1440" w:hanging="720"/>
        <w:jc w:val="both"/>
      </w:pPr>
      <w:r>
        <w:t>Enrollment levels for minority individuals (by demographic category vs. census data);</w:t>
      </w:r>
    </w:p>
    <w:p w14:paraId="3C53970A" w14:textId="77777777" w:rsidR="00421F8F" w:rsidRPr="00354728" w:rsidRDefault="00421F8F" w:rsidP="00373A77">
      <w:pPr>
        <w:pStyle w:val="ListParagraph"/>
        <w:ind w:left="1440"/>
        <w:jc w:val="both"/>
      </w:pPr>
    </w:p>
    <w:p w14:paraId="3560D294" w14:textId="77777777" w:rsidR="00A632C8" w:rsidRDefault="00A632C8" w:rsidP="00373A77">
      <w:pPr>
        <w:pStyle w:val="ListParagraph"/>
        <w:numPr>
          <w:ilvl w:val="2"/>
          <w:numId w:val="21"/>
        </w:numPr>
        <w:ind w:left="1440" w:hanging="720"/>
        <w:jc w:val="both"/>
      </w:pPr>
      <w:r>
        <w:t>Year-to-date performance against each USDOL measure;</w:t>
      </w:r>
    </w:p>
    <w:p w14:paraId="4D405C49" w14:textId="77777777" w:rsidR="00421F8F" w:rsidRPr="00354728" w:rsidRDefault="00421F8F" w:rsidP="00373A77">
      <w:pPr>
        <w:pStyle w:val="ListParagraph"/>
        <w:ind w:left="1440"/>
        <w:jc w:val="both"/>
      </w:pPr>
    </w:p>
    <w:p w14:paraId="5E7B3F78" w14:textId="77777777" w:rsidR="00A632C8" w:rsidRDefault="00A632C8" w:rsidP="00373A77">
      <w:pPr>
        <w:pStyle w:val="ListParagraph"/>
        <w:numPr>
          <w:ilvl w:val="2"/>
          <w:numId w:val="21"/>
        </w:numPr>
        <w:ind w:left="1440" w:hanging="720"/>
        <w:jc w:val="both"/>
      </w:pPr>
      <w:r>
        <w:t>Steps being taken to address any measures not on track;</w:t>
      </w:r>
    </w:p>
    <w:p w14:paraId="49604268" w14:textId="77777777" w:rsidR="00421F8F" w:rsidRPr="00354728" w:rsidRDefault="00421F8F" w:rsidP="00373A77">
      <w:pPr>
        <w:pStyle w:val="ListParagraph"/>
        <w:ind w:left="1440"/>
        <w:jc w:val="both"/>
      </w:pPr>
    </w:p>
    <w:p w14:paraId="393ED847" w14:textId="77777777" w:rsidR="00A632C8" w:rsidRDefault="00A632C8" w:rsidP="00373A77">
      <w:pPr>
        <w:pStyle w:val="ListParagraph"/>
        <w:numPr>
          <w:ilvl w:val="2"/>
          <w:numId w:val="21"/>
        </w:numPr>
        <w:ind w:left="1440" w:hanging="720"/>
        <w:jc w:val="both"/>
      </w:pPr>
      <w:r>
        <w:t>Outreach and recruitment activities;</w:t>
      </w:r>
    </w:p>
    <w:p w14:paraId="16A89CCD" w14:textId="77777777" w:rsidR="00421F8F" w:rsidRPr="00354728" w:rsidRDefault="00421F8F" w:rsidP="00373A77">
      <w:pPr>
        <w:pStyle w:val="ListParagraph"/>
        <w:ind w:left="1440"/>
        <w:jc w:val="both"/>
      </w:pPr>
    </w:p>
    <w:p w14:paraId="3AFBF508" w14:textId="77777777" w:rsidR="00A632C8" w:rsidRDefault="00A632C8" w:rsidP="00373A77">
      <w:pPr>
        <w:pStyle w:val="ListParagraph"/>
        <w:numPr>
          <w:ilvl w:val="2"/>
          <w:numId w:val="21"/>
        </w:numPr>
        <w:ind w:left="1440" w:hanging="720"/>
        <w:jc w:val="both"/>
      </w:pPr>
      <w:r>
        <w:t>Enrollment activities;</w:t>
      </w:r>
    </w:p>
    <w:p w14:paraId="16CC06EA" w14:textId="77777777" w:rsidR="00421F8F" w:rsidRPr="00354728" w:rsidRDefault="00421F8F" w:rsidP="00373A77">
      <w:pPr>
        <w:pStyle w:val="ListParagraph"/>
        <w:ind w:left="1440"/>
        <w:jc w:val="both"/>
      </w:pPr>
    </w:p>
    <w:p w14:paraId="6EF41A8E" w14:textId="77777777" w:rsidR="00A632C8" w:rsidRDefault="00A632C8" w:rsidP="00373A77">
      <w:pPr>
        <w:pStyle w:val="ListParagraph"/>
        <w:numPr>
          <w:ilvl w:val="2"/>
          <w:numId w:val="21"/>
        </w:numPr>
        <w:ind w:left="1440" w:hanging="720"/>
        <w:jc w:val="both"/>
      </w:pPr>
      <w:r>
        <w:t>Job development and employer engagement activities;</w:t>
      </w:r>
    </w:p>
    <w:p w14:paraId="1707647E" w14:textId="77777777" w:rsidR="00421F8F" w:rsidRPr="00354728" w:rsidRDefault="00421F8F" w:rsidP="00373A77">
      <w:pPr>
        <w:pStyle w:val="ListParagraph"/>
        <w:ind w:left="1440"/>
        <w:jc w:val="both"/>
      </w:pPr>
    </w:p>
    <w:p w14:paraId="25ABB3F2" w14:textId="77777777" w:rsidR="00A632C8" w:rsidRDefault="00A632C8" w:rsidP="00373A77">
      <w:pPr>
        <w:pStyle w:val="ListParagraph"/>
        <w:numPr>
          <w:ilvl w:val="2"/>
          <w:numId w:val="21"/>
        </w:numPr>
        <w:ind w:left="1440" w:hanging="720"/>
        <w:jc w:val="both"/>
      </w:pPr>
      <w:r>
        <w:t>Additional training activities outside of community service assignments; and</w:t>
      </w:r>
    </w:p>
    <w:p w14:paraId="4CBEFD5E" w14:textId="77777777" w:rsidR="00421F8F" w:rsidRPr="00354728" w:rsidRDefault="00421F8F" w:rsidP="00373A77">
      <w:pPr>
        <w:pStyle w:val="ListParagraph"/>
        <w:ind w:left="1440"/>
        <w:jc w:val="both"/>
      </w:pPr>
    </w:p>
    <w:p w14:paraId="47231638" w14:textId="77777777" w:rsidR="00A632C8" w:rsidRDefault="00A632C8" w:rsidP="00373A77">
      <w:pPr>
        <w:pStyle w:val="ListParagraph"/>
        <w:numPr>
          <w:ilvl w:val="2"/>
          <w:numId w:val="21"/>
        </w:numPr>
        <w:ind w:left="1440" w:hanging="720"/>
        <w:jc w:val="both"/>
      </w:pPr>
      <w:r>
        <w:t>Key challenges, technical assistance needs, and promising practices.</w:t>
      </w:r>
    </w:p>
    <w:p w14:paraId="28182AE0" w14:textId="77777777" w:rsidR="00A632C8" w:rsidRDefault="00A632C8" w:rsidP="00A632C8">
      <w:pPr>
        <w:pStyle w:val="ListParagraph"/>
        <w:ind w:left="1350"/>
        <w:jc w:val="both"/>
      </w:pPr>
    </w:p>
    <w:p w14:paraId="0E066A42" w14:textId="77777777" w:rsidR="00FA25EE" w:rsidRDefault="00A632C8" w:rsidP="005165E8">
      <w:pPr>
        <w:pStyle w:val="ListParagraph"/>
        <w:numPr>
          <w:ilvl w:val="1"/>
          <w:numId w:val="21"/>
        </w:numPr>
        <w:ind w:left="900" w:hanging="540"/>
        <w:jc w:val="both"/>
        <w:rPr>
          <w:b/>
          <w:bCs/>
        </w:rPr>
      </w:pPr>
      <w:r>
        <w:rPr>
          <w:b/>
          <w:bCs/>
        </w:rPr>
        <w:t>Quarterly Program Report (GPMS Flags and Issues)</w:t>
      </w:r>
    </w:p>
    <w:p w14:paraId="628BC1AD" w14:textId="4862B6AA" w:rsidR="00A632C8" w:rsidRPr="00FA25EE" w:rsidRDefault="00A632C8" w:rsidP="005165E8">
      <w:pPr>
        <w:pStyle w:val="ListParagraph"/>
        <w:ind w:left="900"/>
        <w:jc w:val="both"/>
        <w:rPr>
          <w:b/>
          <w:bCs/>
        </w:rPr>
      </w:pPr>
      <w:r>
        <w:t>The Quarterly Program Report addresses unresolved data and operational issues identified through GPMS monitoring. The Contractor must submit this report no later than the 25th of the final month of each quarter, addressing all issues identified in the following GPMS reports:</w:t>
      </w:r>
    </w:p>
    <w:p w14:paraId="269203D5" w14:textId="77777777" w:rsidR="00A632C8" w:rsidRPr="009A7AF3" w:rsidRDefault="00A632C8" w:rsidP="00A632C8">
      <w:pPr>
        <w:pStyle w:val="ListParagraph"/>
        <w:ind w:left="792"/>
        <w:jc w:val="both"/>
        <w:rPr>
          <w:b/>
          <w:bCs/>
        </w:rPr>
      </w:pPr>
    </w:p>
    <w:p w14:paraId="4AA9D121" w14:textId="77777777" w:rsidR="00A632C8" w:rsidRDefault="00A632C8" w:rsidP="006A3C9E">
      <w:pPr>
        <w:pStyle w:val="ListParagraph"/>
        <w:numPr>
          <w:ilvl w:val="2"/>
          <w:numId w:val="21"/>
        </w:numPr>
        <w:ind w:left="1440" w:hanging="720"/>
        <w:jc w:val="both"/>
      </w:pPr>
      <w:r>
        <w:t>Waiting List;</w:t>
      </w:r>
    </w:p>
    <w:p w14:paraId="20CE3402" w14:textId="77777777" w:rsidR="008C096B" w:rsidRPr="00FA25EE" w:rsidRDefault="008C096B" w:rsidP="008C096B">
      <w:pPr>
        <w:pStyle w:val="ListParagraph"/>
        <w:ind w:left="1350"/>
        <w:jc w:val="both"/>
      </w:pPr>
    </w:p>
    <w:p w14:paraId="6FC8B527" w14:textId="77777777" w:rsidR="00A632C8" w:rsidRDefault="00A632C8" w:rsidP="00373A77">
      <w:pPr>
        <w:pStyle w:val="ListParagraph"/>
        <w:numPr>
          <w:ilvl w:val="2"/>
          <w:numId w:val="21"/>
        </w:numPr>
        <w:ind w:left="1440" w:hanging="720"/>
        <w:jc w:val="both"/>
      </w:pPr>
      <w:r>
        <w:t>Waiver of Durational Limit;</w:t>
      </w:r>
    </w:p>
    <w:p w14:paraId="2C59B40A" w14:textId="77777777" w:rsidR="008C096B" w:rsidRPr="00FA25EE" w:rsidRDefault="008C096B" w:rsidP="006A3C9E">
      <w:pPr>
        <w:pStyle w:val="ListParagraph"/>
        <w:ind w:left="1440"/>
        <w:jc w:val="both"/>
      </w:pPr>
    </w:p>
    <w:p w14:paraId="01DA9507" w14:textId="579DFCB7" w:rsidR="00A632C8" w:rsidRDefault="00D843DD" w:rsidP="00373A77">
      <w:pPr>
        <w:pStyle w:val="ListParagraph"/>
        <w:numPr>
          <w:ilvl w:val="2"/>
          <w:numId w:val="21"/>
        </w:numPr>
        <w:ind w:left="1440" w:hanging="720"/>
        <w:jc w:val="both"/>
      </w:pPr>
      <w:r>
        <w:t>Participants with Approved Breaks;</w:t>
      </w:r>
    </w:p>
    <w:p w14:paraId="6739EF82" w14:textId="77777777" w:rsidR="008C096B" w:rsidRPr="00FA25EE" w:rsidRDefault="008C096B" w:rsidP="006A3C9E">
      <w:pPr>
        <w:pStyle w:val="ListParagraph"/>
        <w:ind w:left="1440"/>
        <w:jc w:val="both"/>
      </w:pPr>
    </w:p>
    <w:p w14:paraId="3993EAC3" w14:textId="77777777" w:rsidR="00A632C8" w:rsidRDefault="00A632C8" w:rsidP="00373A77">
      <w:pPr>
        <w:pStyle w:val="ListParagraph"/>
        <w:numPr>
          <w:ilvl w:val="2"/>
          <w:numId w:val="21"/>
        </w:numPr>
        <w:ind w:left="1440" w:hanging="720"/>
        <w:jc w:val="both"/>
      </w:pPr>
      <w:r>
        <w:t>Pending Follow-ups;</w:t>
      </w:r>
    </w:p>
    <w:p w14:paraId="6938B95B" w14:textId="77777777" w:rsidR="008C096B" w:rsidRPr="00FA25EE" w:rsidRDefault="008C096B" w:rsidP="006A3C9E">
      <w:pPr>
        <w:pStyle w:val="ListParagraph"/>
        <w:ind w:left="1440"/>
        <w:jc w:val="both"/>
      </w:pPr>
    </w:p>
    <w:p w14:paraId="7AA1FDAD" w14:textId="77777777" w:rsidR="00A632C8" w:rsidRDefault="00A632C8" w:rsidP="00373A77">
      <w:pPr>
        <w:pStyle w:val="ListParagraph"/>
        <w:numPr>
          <w:ilvl w:val="2"/>
          <w:numId w:val="21"/>
        </w:numPr>
        <w:ind w:left="1440" w:hanging="720"/>
        <w:jc w:val="both"/>
      </w:pPr>
      <w:r>
        <w:t>Most in Need/Waiver Factor Actions;</w:t>
      </w:r>
    </w:p>
    <w:p w14:paraId="6D4811AE" w14:textId="77777777" w:rsidR="008C096B" w:rsidRPr="00FA25EE" w:rsidRDefault="008C096B" w:rsidP="006A3C9E">
      <w:pPr>
        <w:pStyle w:val="ListParagraph"/>
        <w:ind w:left="1440"/>
        <w:jc w:val="both"/>
      </w:pPr>
    </w:p>
    <w:p w14:paraId="338DC797" w14:textId="77777777" w:rsidR="00A632C8" w:rsidRDefault="00A632C8" w:rsidP="00373A77">
      <w:pPr>
        <w:pStyle w:val="ListParagraph"/>
        <w:numPr>
          <w:ilvl w:val="2"/>
          <w:numId w:val="21"/>
        </w:numPr>
        <w:ind w:left="1440" w:hanging="720"/>
        <w:jc w:val="both"/>
      </w:pPr>
      <w:r>
        <w:t>Pending Employer Surveys;</w:t>
      </w:r>
    </w:p>
    <w:p w14:paraId="769370A1" w14:textId="77777777" w:rsidR="008C096B" w:rsidRPr="00FA25EE" w:rsidRDefault="008C096B" w:rsidP="006A3C9E">
      <w:pPr>
        <w:pStyle w:val="ListParagraph"/>
        <w:ind w:left="1440"/>
        <w:jc w:val="both"/>
      </w:pPr>
    </w:p>
    <w:p w14:paraId="612EBB81" w14:textId="77777777" w:rsidR="00A632C8" w:rsidRDefault="00A632C8" w:rsidP="00373A77">
      <w:pPr>
        <w:pStyle w:val="ListParagraph"/>
        <w:numPr>
          <w:ilvl w:val="2"/>
          <w:numId w:val="21"/>
        </w:numPr>
        <w:ind w:left="1440" w:hanging="720"/>
        <w:jc w:val="both"/>
      </w:pPr>
      <w:r>
        <w:t>Durational Limit Rejections;</w:t>
      </w:r>
    </w:p>
    <w:p w14:paraId="7EC588C6" w14:textId="77777777" w:rsidR="008C096B" w:rsidRPr="00FA25EE" w:rsidRDefault="008C096B" w:rsidP="006A3C9E">
      <w:pPr>
        <w:pStyle w:val="ListParagraph"/>
        <w:ind w:left="1440"/>
        <w:jc w:val="both"/>
      </w:pPr>
    </w:p>
    <w:p w14:paraId="58DC20EC" w14:textId="77777777" w:rsidR="00A632C8" w:rsidRDefault="00A632C8" w:rsidP="00373A77">
      <w:pPr>
        <w:pStyle w:val="ListParagraph"/>
        <w:numPr>
          <w:ilvl w:val="2"/>
          <w:numId w:val="21"/>
        </w:numPr>
        <w:ind w:left="1440" w:hanging="720"/>
        <w:jc w:val="both"/>
      </w:pPr>
      <w:r>
        <w:t>Other Rejections; and</w:t>
      </w:r>
    </w:p>
    <w:p w14:paraId="25DC4B33" w14:textId="77777777" w:rsidR="008C096B" w:rsidRPr="00FA25EE" w:rsidRDefault="008C096B" w:rsidP="006A3C9E">
      <w:pPr>
        <w:pStyle w:val="ListParagraph"/>
        <w:ind w:left="1440"/>
        <w:jc w:val="both"/>
      </w:pPr>
    </w:p>
    <w:p w14:paraId="2D184E08" w14:textId="77777777" w:rsidR="00FA25EE" w:rsidRDefault="00A632C8" w:rsidP="00373A77">
      <w:pPr>
        <w:pStyle w:val="ListParagraph"/>
        <w:numPr>
          <w:ilvl w:val="2"/>
          <w:numId w:val="21"/>
        </w:numPr>
        <w:ind w:left="1440" w:hanging="720"/>
        <w:jc w:val="both"/>
      </w:pPr>
      <w:r>
        <w:t>Applicable Warnings.</w:t>
      </w:r>
    </w:p>
    <w:p w14:paraId="4DEA1894" w14:textId="77777777" w:rsidR="008C096B" w:rsidRPr="00FA25EE" w:rsidRDefault="008C096B" w:rsidP="006A3C9E">
      <w:pPr>
        <w:pStyle w:val="ListParagraph"/>
        <w:ind w:left="1440"/>
        <w:jc w:val="both"/>
      </w:pPr>
    </w:p>
    <w:p w14:paraId="02DBE8D7" w14:textId="3A10AF0D" w:rsidR="00A632C8" w:rsidRPr="00FA25EE" w:rsidRDefault="00A632C8" w:rsidP="006A3C9E">
      <w:pPr>
        <w:pStyle w:val="ListParagraph"/>
        <w:numPr>
          <w:ilvl w:val="2"/>
          <w:numId w:val="21"/>
        </w:numPr>
        <w:ind w:left="1530" w:hanging="810"/>
        <w:jc w:val="both"/>
      </w:pPr>
      <w:r>
        <w:t>The report must include a comment section addressing any items not cleared by the end of the reporting period. This report must be submitted as a standalone PDF directly to ICOA; a copy must also be attached to the following month’s reimbursement request.</w:t>
      </w:r>
    </w:p>
    <w:p w14:paraId="49802784" w14:textId="77777777" w:rsidR="00A632C8" w:rsidRDefault="00A632C8" w:rsidP="00A632C8">
      <w:pPr>
        <w:pStyle w:val="ListParagraph"/>
        <w:ind w:left="360"/>
        <w:jc w:val="both"/>
        <w:rPr>
          <w:b/>
          <w:bCs/>
        </w:rPr>
      </w:pPr>
    </w:p>
    <w:p w14:paraId="215B8F23" w14:textId="211C1D4E" w:rsidR="00A632C8" w:rsidRPr="00AB4917" w:rsidRDefault="00A632C8" w:rsidP="00007DE4">
      <w:pPr>
        <w:pStyle w:val="ListParagraph"/>
        <w:numPr>
          <w:ilvl w:val="0"/>
          <w:numId w:val="21"/>
        </w:numPr>
        <w:jc w:val="both"/>
        <w:rPr>
          <w:b/>
          <w:bCs/>
        </w:rPr>
      </w:pPr>
      <w:r>
        <w:rPr>
          <w:b/>
          <w:bCs/>
        </w:rPr>
        <w:t>ICOA Support Responsibilities</w:t>
      </w:r>
    </w:p>
    <w:p w14:paraId="508EE69D" w14:textId="77777777" w:rsidR="00A632C8" w:rsidRDefault="00A632C8" w:rsidP="00A632C8">
      <w:pPr>
        <w:pStyle w:val="ListParagraph"/>
        <w:ind w:left="360"/>
        <w:jc w:val="both"/>
      </w:pPr>
      <w:r>
        <w:t>ICOA, as the Grantee and the designated State SCSEP agency, will fulfill the following responsibilities under the Contract:</w:t>
      </w:r>
    </w:p>
    <w:p w14:paraId="1531F805" w14:textId="77777777" w:rsidR="00A632C8" w:rsidRDefault="00A632C8" w:rsidP="00A632C8">
      <w:pPr>
        <w:pStyle w:val="ListParagraph"/>
        <w:ind w:left="360"/>
        <w:jc w:val="both"/>
      </w:pPr>
    </w:p>
    <w:p w14:paraId="39048945" w14:textId="77777777" w:rsidR="00A632C8" w:rsidRDefault="00A632C8" w:rsidP="005165E8">
      <w:pPr>
        <w:pStyle w:val="ListParagraph"/>
        <w:numPr>
          <w:ilvl w:val="1"/>
          <w:numId w:val="21"/>
        </w:numPr>
        <w:ind w:left="900" w:hanging="540"/>
        <w:jc w:val="both"/>
      </w:pPr>
      <w:r>
        <w:t>Serve as the primary point of contact with USDOL for all grant-related matters;</w:t>
      </w:r>
    </w:p>
    <w:p w14:paraId="7909ED22" w14:textId="77777777" w:rsidR="00322CA4" w:rsidRDefault="00322CA4" w:rsidP="005165E8">
      <w:pPr>
        <w:pStyle w:val="ListParagraph"/>
        <w:ind w:left="900"/>
        <w:jc w:val="both"/>
      </w:pPr>
    </w:p>
    <w:p w14:paraId="7E12F168" w14:textId="77777777" w:rsidR="00A632C8" w:rsidRDefault="00A632C8" w:rsidP="005165E8">
      <w:pPr>
        <w:pStyle w:val="ListParagraph"/>
        <w:numPr>
          <w:ilvl w:val="1"/>
          <w:numId w:val="21"/>
        </w:numPr>
        <w:ind w:left="900" w:hanging="540"/>
        <w:jc w:val="both"/>
      </w:pPr>
      <w:r>
        <w:t>Negotiate and execute the annual USDOL grant agreement;</w:t>
      </w:r>
    </w:p>
    <w:p w14:paraId="4C5730F5" w14:textId="77777777" w:rsidR="00322CA4" w:rsidRDefault="00322CA4" w:rsidP="005165E8">
      <w:pPr>
        <w:pStyle w:val="ListParagraph"/>
        <w:ind w:left="900"/>
        <w:jc w:val="both"/>
      </w:pPr>
    </w:p>
    <w:p w14:paraId="37C41EB7" w14:textId="77777777" w:rsidR="00A632C8" w:rsidRDefault="00A632C8" w:rsidP="005165E8">
      <w:pPr>
        <w:pStyle w:val="ListParagraph"/>
        <w:numPr>
          <w:ilvl w:val="1"/>
          <w:numId w:val="21"/>
        </w:numPr>
        <w:ind w:left="900" w:hanging="540"/>
        <w:jc w:val="both"/>
      </w:pPr>
      <w:r>
        <w:t>Communicate USDOL performance targets and any changes to federal requirements to the Contractor within ten (10) business days of receipt;</w:t>
      </w:r>
    </w:p>
    <w:p w14:paraId="74AFE471" w14:textId="77777777" w:rsidR="00322CA4" w:rsidRDefault="00322CA4" w:rsidP="005165E8">
      <w:pPr>
        <w:pStyle w:val="ListParagraph"/>
        <w:ind w:left="900"/>
        <w:jc w:val="both"/>
      </w:pPr>
    </w:p>
    <w:p w14:paraId="79DB16BD" w14:textId="77777777" w:rsidR="00A632C8" w:rsidRDefault="00A632C8" w:rsidP="005165E8">
      <w:pPr>
        <w:pStyle w:val="ListParagraph"/>
        <w:numPr>
          <w:ilvl w:val="1"/>
          <w:numId w:val="21"/>
        </w:numPr>
        <w:ind w:left="900" w:hanging="540"/>
        <w:jc w:val="both"/>
      </w:pPr>
      <w:r>
        <w:t>Process Contractor reimbursement requests and issue payment in accordance with Idaho law;</w:t>
      </w:r>
    </w:p>
    <w:p w14:paraId="7B06CFFB" w14:textId="77777777" w:rsidR="00322CA4" w:rsidRDefault="00322CA4" w:rsidP="005165E8">
      <w:pPr>
        <w:pStyle w:val="ListParagraph"/>
        <w:ind w:left="900"/>
        <w:jc w:val="both"/>
      </w:pPr>
    </w:p>
    <w:p w14:paraId="65043CB4" w14:textId="77777777" w:rsidR="00A632C8" w:rsidRDefault="00A632C8" w:rsidP="005165E8">
      <w:pPr>
        <w:pStyle w:val="ListParagraph"/>
        <w:numPr>
          <w:ilvl w:val="1"/>
          <w:numId w:val="21"/>
        </w:numPr>
        <w:ind w:left="900" w:hanging="540"/>
        <w:jc w:val="both"/>
      </w:pPr>
      <w:r>
        <w:t>Conduct quarterly data validation and programmatic reviews;</w:t>
      </w:r>
    </w:p>
    <w:p w14:paraId="103A54D1" w14:textId="77777777" w:rsidR="00322CA4" w:rsidRDefault="00322CA4" w:rsidP="005165E8">
      <w:pPr>
        <w:pStyle w:val="ListParagraph"/>
        <w:ind w:left="900"/>
        <w:jc w:val="both"/>
      </w:pPr>
    </w:p>
    <w:p w14:paraId="6E99C2E5" w14:textId="77777777" w:rsidR="00A632C8" w:rsidRDefault="00A632C8" w:rsidP="005165E8">
      <w:pPr>
        <w:pStyle w:val="ListParagraph"/>
        <w:numPr>
          <w:ilvl w:val="1"/>
          <w:numId w:val="21"/>
        </w:numPr>
        <w:ind w:left="900" w:hanging="540"/>
        <w:jc w:val="both"/>
      </w:pPr>
      <w:r>
        <w:t>Approve any changes to ICOA policies or durational limit waivers; and</w:t>
      </w:r>
    </w:p>
    <w:p w14:paraId="7BF8ADFA" w14:textId="77777777" w:rsidR="00322CA4" w:rsidRDefault="00322CA4" w:rsidP="005165E8">
      <w:pPr>
        <w:pStyle w:val="ListParagraph"/>
        <w:ind w:left="900"/>
        <w:jc w:val="both"/>
      </w:pPr>
    </w:p>
    <w:p w14:paraId="1BD6AE8D" w14:textId="77777777" w:rsidR="00A632C8" w:rsidRDefault="00A632C8" w:rsidP="005165E8">
      <w:pPr>
        <w:pStyle w:val="ListParagraph"/>
        <w:numPr>
          <w:ilvl w:val="1"/>
          <w:numId w:val="21"/>
        </w:numPr>
        <w:ind w:left="900" w:hanging="540"/>
        <w:jc w:val="both"/>
      </w:pPr>
      <w:r>
        <w:t>Maintain the USDOL grant agreement and all associated federal compliance obligations.</w:t>
      </w:r>
    </w:p>
    <w:p w14:paraId="59B99596" w14:textId="24EBB92F" w:rsidR="00006FE2" w:rsidRPr="00FD0BD2" w:rsidRDefault="00322CA4" w:rsidP="00006FE2">
      <w:pPr>
        <w:jc w:val="center"/>
        <w:rPr>
          <w:spacing w:val="20"/>
          <w:sz w:val="48"/>
          <w:szCs w:val="48"/>
        </w:rPr>
      </w:pPr>
      <w:r>
        <w:rPr>
          <w:spacing w:val="20"/>
          <w:sz w:val="48"/>
          <w:szCs w:val="48"/>
        </w:rPr>
        <w:br w:type="page"/>
      </w:r>
      <w:r>
        <w:rPr>
          <w:spacing w:val="20"/>
          <w:sz w:val="48"/>
          <w:szCs w:val="48"/>
        </w:rPr>
        <w:lastRenderedPageBreak/>
        <w:t>EXHIBIT 5</w:t>
      </w:r>
    </w:p>
    <w:p w14:paraId="3FAC76E8" w14:textId="198BC9A7" w:rsidR="00006FE2" w:rsidRPr="008C3E7B" w:rsidRDefault="00006FE2" w:rsidP="00006FE2">
      <w:pPr>
        <w:shd w:val="clear" w:color="auto" w:fill="F2F2F2" w:themeFill="background1" w:themeFillShade="F2"/>
        <w:jc w:val="center"/>
        <w:rPr>
          <w:b/>
          <w:bCs/>
          <w:spacing w:val="20"/>
          <w:sz w:val="36"/>
          <w:szCs w:val="36"/>
        </w:rPr>
      </w:pPr>
      <w:r>
        <w:rPr>
          <w:b/>
          <w:bCs/>
          <w:spacing w:val="20"/>
          <w:sz w:val="36"/>
          <w:szCs w:val="36"/>
        </w:rPr>
        <w:t xml:space="preserve">Veterans’ Priority of Service Policy </w:t>
      </w:r>
    </w:p>
    <w:p w14:paraId="565A6CD5" w14:textId="77777777" w:rsidR="00006FE2" w:rsidRDefault="00006FE2" w:rsidP="00006FE2">
      <w:pPr>
        <w:jc w:val="center"/>
        <w:rPr>
          <w:spacing w:val="20"/>
          <w:sz w:val="48"/>
          <w:szCs w:val="48"/>
        </w:rPr>
      </w:pPr>
      <w:r>
        <w:rPr>
          <w:noProof/>
          <w:spacing w:val="20"/>
          <w:sz w:val="48"/>
          <w:szCs w:val="48"/>
        </w:rPr>
        <w:drawing>
          <wp:inline distT="0" distB="0" distL="0" distR="0" wp14:anchorId="7E7366E9" wp14:editId="2C4007C2">
            <wp:extent cx="5824312" cy="7724775"/>
            <wp:effectExtent l="0" t="0" r="5080" b="0"/>
            <wp:docPr id="192637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7167" name=""/>
                    <pic:cNvPicPr/>
                  </pic:nvPicPr>
                  <pic:blipFill>
                    <a:blip r:embed="rId24"/>
                    <a:stretch>
                      <a:fillRect/>
                    </a:stretch>
                  </pic:blipFill>
                  <pic:spPr>
                    <a:xfrm>
                      <a:off x="0" y="0"/>
                      <a:ext cx="5835340" cy="7739402"/>
                    </a:xfrm>
                    <a:prstGeom prst="rect">
                      <a:avLst/>
                    </a:prstGeom>
                  </pic:spPr>
                </pic:pic>
              </a:graphicData>
            </a:graphic>
          </wp:inline>
        </w:drawing>
      </w:r>
    </w:p>
    <w:p w14:paraId="660E1D50" w14:textId="77777777" w:rsidR="00006FE2" w:rsidRDefault="00006FE2" w:rsidP="00006FE2">
      <w:pPr>
        <w:rPr>
          <w:spacing w:val="20"/>
          <w:sz w:val="48"/>
          <w:szCs w:val="48"/>
        </w:rPr>
      </w:pPr>
    </w:p>
    <w:p w14:paraId="46878285" w14:textId="77777777" w:rsidR="00006FE2" w:rsidRDefault="00006FE2" w:rsidP="00006FE2">
      <w:pPr>
        <w:jc w:val="center"/>
        <w:rPr>
          <w:spacing w:val="20"/>
          <w:sz w:val="48"/>
          <w:szCs w:val="48"/>
        </w:rPr>
      </w:pPr>
    </w:p>
    <w:p w14:paraId="57A6F6D7" w14:textId="77777777" w:rsidR="00006FE2" w:rsidRPr="00FD0BD2" w:rsidRDefault="00006FE2" w:rsidP="00006FE2">
      <w:pPr>
        <w:jc w:val="center"/>
        <w:rPr>
          <w:spacing w:val="20"/>
          <w:sz w:val="48"/>
          <w:szCs w:val="48"/>
        </w:rPr>
      </w:pPr>
      <w:r>
        <w:rPr>
          <w:spacing w:val="20"/>
          <w:sz w:val="48"/>
          <w:szCs w:val="48"/>
        </w:rPr>
        <w:lastRenderedPageBreak/>
        <w:t>EXHIBIT 6</w:t>
      </w:r>
    </w:p>
    <w:p w14:paraId="3B587DBB" w14:textId="59EDDF4B" w:rsidR="00006FE2" w:rsidRPr="00FD0BD2" w:rsidRDefault="00006FE2" w:rsidP="00006FE2">
      <w:pPr>
        <w:shd w:val="clear" w:color="auto" w:fill="F2F2F2" w:themeFill="background1" w:themeFillShade="F2"/>
        <w:jc w:val="center"/>
        <w:rPr>
          <w:b/>
          <w:bCs/>
          <w:spacing w:val="20"/>
          <w:sz w:val="36"/>
          <w:szCs w:val="36"/>
        </w:rPr>
      </w:pPr>
      <w:r>
        <w:rPr>
          <w:b/>
          <w:bCs/>
          <w:spacing w:val="20"/>
          <w:sz w:val="36"/>
          <w:szCs w:val="36"/>
        </w:rPr>
        <w:t>Durational Limits Policy</w:t>
      </w:r>
    </w:p>
    <w:p w14:paraId="4CDC50CA" w14:textId="77777777" w:rsidR="00006FE2" w:rsidRPr="008C3E7B" w:rsidRDefault="00006FE2" w:rsidP="00006FE2">
      <w:pPr>
        <w:jc w:val="center"/>
        <w:rPr>
          <w:spacing w:val="20"/>
          <w:sz w:val="24"/>
          <w:szCs w:val="24"/>
        </w:rPr>
      </w:pPr>
    </w:p>
    <w:p w14:paraId="3B1437C4" w14:textId="77777777" w:rsidR="00006FE2" w:rsidRDefault="00006FE2" w:rsidP="00006FE2">
      <w:pPr>
        <w:jc w:val="center"/>
        <w:rPr>
          <w:spacing w:val="20"/>
          <w:sz w:val="48"/>
          <w:szCs w:val="48"/>
        </w:rPr>
      </w:pPr>
      <w:r>
        <w:rPr>
          <w:noProof/>
          <w:spacing w:val="20"/>
          <w:sz w:val="48"/>
          <w:szCs w:val="48"/>
        </w:rPr>
        <w:drawing>
          <wp:inline distT="0" distB="0" distL="0" distR="0" wp14:anchorId="2F7674EB" wp14:editId="6E70343C">
            <wp:extent cx="5696745" cy="7668695"/>
            <wp:effectExtent l="0" t="0" r="0" b="8890"/>
            <wp:docPr id="770289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289495" name=""/>
                    <pic:cNvPicPr/>
                  </pic:nvPicPr>
                  <pic:blipFill>
                    <a:blip r:embed="rId25"/>
                    <a:stretch>
                      <a:fillRect/>
                    </a:stretch>
                  </pic:blipFill>
                  <pic:spPr>
                    <a:xfrm>
                      <a:off x="0" y="0"/>
                      <a:ext cx="5696745" cy="7668695"/>
                    </a:xfrm>
                    <a:prstGeom prst="rect">
                      <a:avLst/>
                    </a:prstGeom>
                  </pic:spPr>
                </pic:pic>
              </a:graphicData>
            </a:graphic>
          </wp:inline>
        </w:drawing>
      </w:r>
      <w:r>
        <w:rPr>
          <w:spacing w:val="20"/>
          <w:sz w:val="48"/>
          <w:szCs w:val="48"/>
        </w:rPr>
        <w:br w:type="page"/>
      </w:r>
    </w:p>
    <w:p w14:paraId="11AC20A4" w14:textId="77777777" w:rsidR="00006FE2" w:rsidRPr="00FD0BD2" w:rsidRDefault="00006FE2" w:rsidP="00006FE2">
      <w:pPr>
        <w:jc w:val="center"/>
        <w:rPr>
          <w:spacing w:val="20"/>
          <w:sz w:val="48"/>
          <w:szCs w:val="48"/>
        </w:rPr>
      </w:pPr>
      <w:r>
        <w:rPr>
          <w:spacing w:val="20"/>
          <w:sz w:val="48"/>
          <w:szCs w:val="48"/>
        </w:rPr>
        <w:lastRenderedPageBreak/>
        <w:t>EXHIBIT 7</w:t>
      </w:r>
    </w:p>
    <w:p w14:paraId="136CDD2B" w14:textId="59F52A96" w:rsidR="00006FE2" w:rsidRPr="00FD0BD2" w:rsidRDefault="00006FE2" w:rsidP="00006FE2">
      <w:pPr>
        <w:shd w:val="clear" w:color="auto" w:fill="F2F2F2" w:themeFill="background1" w:themeFillShade="F2"/>
        <w:jc w:val="center"/>
        <w:rPr>
          <w:b/>
          <w:bCs/>
          <w:spacing w:val="20"/>
          <w:sz w:val="36"/>
          <w:szCs w:val="36"/>
        </w:rPr>
      </w:pPr>
      <w:r>
        <w:rPr>
          <w:b/>
          <w:bCs/>
          <w:spacing w:val="20"/>
          <w:sz w:val="36"/>
          <w:szCs w:val="36"/>
        </w:rPr>
        <w:t xml:space="preserve">Participant Termination Policy </w:t>
      </w:r>
    </w:p>
    <w:p w14:paraId="526D66D4" w14:textId="77777777" w:rsidR="00006FE2" w:rsidRPr="008C3E7B" w:rsidRDefault="00006FE2" w:rsidP="00006FE2">
      <w:pPr>
        <w:rPr>
          <w:spacing w:val="20"/>
          <w:sz w:val="24"/>
          <w:szCs w:val="24"/>
        </w:rPr>
      </w:pPr>
    </w:p>
    <w:p w14:paraId="4A0EB34C" w14:textId="77777777" w:rsidR="00006FE2" w:rsidRPr="008C3E7B" w:rsidRDefault="00006FE2" w:rsidP="00006FE2">
      <w:pPr>
        <w:jc w:val="center"/>
        <w:rPr>
          <w:spacing w:val="20"/>
          <w:sz w:val="24"/>
          <w:szCs w:val="24"/>
        </w:rPr>
      </w:pPr>
      <w:r>
        <w:rPr>
          <w:noProof/>
          <w:spacing w:val="20"/>
          <w:sz w:val="48"/>
          <w:szCs w:val="48"/>
        </w:rPr>
        <w:drawing>
          <wp:inline distT="0" distB="0" distL="0" distR="0" wp14:anchorId="6190CBF8" wp14:editId="0AEDD1C6">
            <wp:extent cx="5553850" cy="7535327"/>
            <wp:effectExtent l="0" t="0" r="8890" b="8890"/>
            <wp:docPr id="1710441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441212" name=""/>
                    <pic:cNvPicPr/>
                  </pic:nvPicPr>
                  <pic:blipFill>
                    <a:blip r:embed="rId26"/>
                    <a:stretch>
                      <a:fillRect/>
                    </a:stretch>
                  </pic:blipFill>
                  <pic:spPr>
                    <a:xfrm>
                      <a:off x="0" y="0"/>
                      <a:ext cx="5553850" cy="7535327"/>
                    </a:xfrm>
                    <a:prstGeom prst="rect">
                      <a:avLst/>
                    </a:prstGeom>
                  </pic:spPr>
                </pic:pic>
              </a:graphicData>
            </a:graphic>
          </wp:inline>
        </w:drawing>
      </w:r>
      <w:r>
        <w:rPr>
          <w:spacing w:val="20"/>
          <w:sz w:val="48"/>
          <w:szCs w:val="48"/>
        </w:rPr>
        <w:br w:type="page"/>
      </w:r>
    </w:p>
    <w:p w14:paraId="3101541C" w14:textId="77777777" w:rsidR="00006FE2" w:rsidRPr="00FD0BD2" w:rsidRDefault="00006FE2" w:rsidP="00006FE2">
      <w:pPr>
        <w:jc w:val="center"/>
        <w:rPr>
          <w:spacing w:val="20"/>
          <w:sz w:val="48"/>
          <w:szCs w:val="48"/>
        </w:rPr>
      </w:pPr>
      <w:r>
        <w:rPr>
          <w:spacing w:val="20"/>
          <w:sz w:val="48"/>
          <w:szCs w:val="48"/>
        </w:rPr>
        <w:lastRenderedPageBreak/>
        <w:t>EXHIBIT 8</w:t>
      </w:r>
    </w:p>
    <w:p w14:paraId="1B04866C" w14:textId="46D78DA9" w:rsidR="00006FE2" w:rsidRPr="00FD0BD2" w:rsidRDefault="00006FE2" w:rsidP="00006FE2">
      <w:pPr>
        <w:shd w:val="clear" w:color="auto" w:fill="F2F2F2" w:themeFill="background1" w:themeFillShade="F2"/>
        <w:jc w:val="center"/>
        <w:rPr>
          <w:b/>
          <w:bCs/>
          <w:spacing w:val="20"/>
          <w:sz w:val="36"/>
          <w:szCs w:val="36"/>
        </w:rPr>
      </w:pPr>
      <w:r>
        <w:rPr>
          <w:b/>
          <w:bCs/>
          <w:spacing w:val="20"/>
          <w:sz w:val="36"/>
          <w:szCs w:val="36"/>
        </w:rPr>
        <w:t xml:space="preserve">Participant Grievance Policy </w:t>
      </w:r>
    </w:p>
    <w:p w14:paraId="17A5A551" w14:textId="77777777" w:rsidR="00006FE2" w:rsidRPr="008C3E7B" w:rsidRDefault="00006FE2" w:rsidP="00006FE2">
      <w:pPr>
        <w:rPr>
          <w:spacing w:val="20"/>
          <w:sz w:val="24"/>
          <w:szCs w:val="24"/>
        </w:rPr>
      </w:pPr>
    </w:p>
    <w:p w14:paraId="1FF25BB1" w14:textId="391FCA6B" w:rsidR="00006FE2" w:rsidRDefault="00006FE2" w:rsidP="00006FE2">
      <w:pPr>
        <w:jc w:val="center"/>
        <w:rPr>
          <w:spacing w:val="20"/>
          <w:sz w:val="48"/>
          <w:szCs w:val="48"/>
        </w:rPr>
      </w:pPr>
      <w:r>
        <w:rPr>
          <w:noProof/>
          <w:spacing w:val="20"/>
          <w:sz w:val="48"/>
          <w:szCs w:val="48"/>
        </w:rPr>
        <w:drawing>
          <wp:inline distT="0" distB="0" distL="0" distR="0" wp14:anchorId="609542E3" wp14:editId="5933F3E0">
            <wp:extent cx="5582429" cy="7659169"/>
            <wp:effectExtent l="0" t="0" r="0" b="0"/>
            <wp:docPr id="219362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362375" name=""/>
                    <pic:cNvPicPr/>
                  </pic:nvPicPr>
                  <pic:blipFill>
                    <a:blip r:embed="rId27"/>
                    <a:stretch>
                      <a:fillRect/>
                    </a:stretch>
                  </pic:blipFill>
                  <pic:spPr>
                    <a:xfrm>
                      <a:off x="0" y="0"/>
                      <a:ext cx="5582429" cy="7659169"/>
                    </a:xfrm>
                    <a:prstGeom prst="rect">
                      <a:avLst/>
                    </a:prstGeom>
                  </pic:spPr>
                </pic:pic>
              </a:graphicData>
            </a:graphic>
          </wp:inline>
        </w:drawing>
      </w:r>
      <w:r>
        <w:rPr>
          <w:spacing w:val="20"/>
          <w:sz w:val="48"/>
          <w:szCs w:val="48"/>
        </w:rPr>
        <w:br w:type="page"/>
      </w:r>
    </w:p>
    <w:p w14:paraId="1974C615" w14:textId="76C28843" w:rsidR="001B44B9" w:rsidRPr="00B84CEF" w:rsidRDefault="001B44B9" w:rsidP="00A632C8">
      <w:pPr>
        <w:jc w:val="center"/>
        <w:rPr>
          <w:spacing w:val="20"/>
          <w:sz w:val="48"/>
          <w:szCs w:val="48"/>
        </w:rPr>
      </w:pPr>
      <w:r>
        <w:rPr>
          <w:spacing w:val="20"/>
          <w:sz w:val="48"/>
          <w:szCs w:val="48"/>
        </w:rPr>
        <w:lastRenderedPageBreak/>
        <w:t>EXHIBIT 9</w:t>
      </w:r>
    </w:p>
    <w:p w14:paraId="2FDFDEC9" w14:textId="0939FAFD" w:rsidR="001B44B9" w:rsidRPr="00B84CEF" w:rsidRDefault="00A62A8B" w:rsidP="001B44B9">
      <w:pPr>
        <w:shd w:val="clear" w:color="auto" w:fill="F2F2F2" w:themeFill="background1" w:themeFillShade="F2"/>
        <w:jc w:val="center"/>
        <w:rPr>
          <w:b/>
          <w:bCs/>
          <w:spacing w:val="20"/>
          <w:sz w:val="36"/>
          <w:szCs w:val="36"/>
        </w:rPr>
      </w:pPr>
      <w:r>
        <w:rPr>
          <w:b/>
          <w:bCs/>
          <w:spacing w:val="20"/>
          <w:sz w:val="36"/>
          <w:szCs w:val="36"/>
        </w:rPr>
        <w:t xml:space="preserve">Pre-Proposal Conference Registration Form </w:t>
      </w:r>
    </w:p>
    <w:p w14:paraId="3A727F9D" w14:textId="77777777" w:rsidR="001B44B9" w:rsidRDefault="001B44B9" w:rsidP="001B44B9">
      <w:pPr>
        <w:jc w:val="both"/>
      </w:pPr>
    </w:p>
    <w:p w14:paraId="7AA3FAF2" w14:textId="77777777" w:rsidR="00820673" w:rsidRDefault="00820673" w:rsidP="001B44B9">
      <w:pPr>
        <w:jc w:val="both"/>
      </w:pP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9180"/>
      </w:tblGrid>
      <w:tr w:rsidR="00820673" w14:paraId="496ED2C1" w14:textId="77777777" w:rsidTr="00820673">
        <w:tc>
          <w:tcPr>
            <w:tcW w:w="1615" w:type="dxa"/>
          </w:tcPr>
          <w:p w14:paraId="076921AE" w14:textId="709CB074" w:rsidR="00820673" w:rsidRPr="00820673" w:rsidRDefault="00820673" w:rsidP="00820673">
            <w:pPr>
              <w:jc w:val="both"/>
              <w:rPr>
                <w:b/>
                <w:bCs/>
              </w:rPr>
            </w:pPr>
            <w:r>
              <w:rPr>
                <w:b/>
                <w:bCs/>
              </w:rPr>
              <w:t>RFP Number:</w:t>
            </w:r>
          </w:p>
        </w:tc>
        <w:tc>
          <w:tcPr>
            <w:tcW w:w="9180" w:type="dxa"/>
            <w:tcBorders>
              <w:bottom w:val="single" w:sz="4" w:space="0" w:color="auto"/>
            </w:tcBorders>
          </w:tcPr>
          <w:p w14:paraId="673DD059" w14:textId="78CF5227" w:rsidR="00820673" w:rsidRDefault="001F3C15" w:rsidP="001B44B9">
            <w:pPr>
              <w:jc w:val="both"/>
            </w:pPr>
            <w:r>
              <w:t>#1263</w:t>
            </w:r>
          </w:p>
        </w:tc>
      </w:tr>
      <w:tr w:rsidR="00820673" w14:paraId="71AB0EBE" w14:textId="77777777" w:rsidTr="00820673">
        <w:tc>
          <w:tcPr>
            <w:tcW w:w="1615" w:type="dxa"/>
          </w:tcPr>
          <w:p w14:paraId="3B980996" w14:textId="462A38CB" w:rsidR="00820673" w:rsidRPr="00820673" w:rsidRDefault="00820673" w:rsidP="00820673">
            <w:pPr>
              <w:jc w:val="both"/>
              <w:rPr>
                <w:b/>
                <w:bCs/>
              </w:rPr>
            </w:pPr>
            <w:r>
              <w:rPr>
                <w:b/>
                <w:bCs/>
              </w:rPr>
              <w:t>RFP Title:</w:t>
            </w:r>
          </w:p>
        </w:tc>
        <w:tc>
          <w:tcPr>
            <w:tcW w:w="9180" w:type="dxa"/>
            <w:tcBorders>
              <w:top w:val="single" w:sz="4" w:space="0" w:color="auto"/>
              <w:bottom w:val="single" w:sz="4" w:space="0" w:color="auto"/>
            </w:tcBorders>
          </w:tcPr>
          <w:p w14:paraId="52B4804E" w14:textId="57C4051F" w:rsidR="00820673" w:rsidRDefault="001F3C15" w:rsidP="001B44B9">
            <w:pPr>
              <w:jc w:val="both"/>
            </w:pPr>
            <w:r>
              <w:t>Senior Community Service Employment Program</w:t>
            </w:r>
          </w:p>
        </w:tc>
      </w:tr>
    </w:tbl>
    <w:p w14:paraId="2504A4F0" w14:textId="77777777" w:rsidR="00820673" w:rsidRDefault="00820673" w:rsidP="001B44B9">
      <w:pPr>
        <w:jc w:val="both"/>
      </w:pPr>
    </w:p>
    <w:p w14:paraId="28D3F784" w14:textId="77777777" w:rsidR="00820673" w:rsidRDefault="00820673" w:rsidP="001B44B9">
      <w:pPr>
        <w:jc w:val="both"/>
      </w:pPr>
    </w:p>
    <w:p w14:paraId="28AE1B7A" w14:textId="0384A753" w:rsidR="00820673" w:rsidRDefault="00820673" w:rsidP="001B44B9">
      <w:pPr>
        <w:jc w:val="both"/>
      </w:pPr>
      <w:r>
        <w:rPr>
          <w:b/>
          <w:bCs/>
        </w:rPr>
        <w:t xml:space="preserve">Instructions: </w:t>
      </w:r>
      <w:r>
        <w:t>Potential Offerors choosing to participate in the Pre-Proposal Conference must pre-register by uploading this completed form into the Q&amp;A Forum section within IPRO. Attendees are asked to submit this registration at least 3 days prior to the Pre-Proposal Conference.</w:t>
      </w:r>
    </w:p>
    <w:p w14:paraId="3033C70F" w14:textId="77777777" w:rsidR="00820673" w:rsidRDefault="00820673" w:rsidP="001B44B9">
      <w:pPr>
        <w:jc w:val="both"/>
      </w:pPr>
    </w:p>
    <w:p w14:paraId="44D48026" w14:textId="57B44B6B" w:rsidR="00820673" w:rsidRDefault="00820673" w:rsidP="001B44B9">
      <w:pPr>
        <w:jc w:val="both"/>
      </w:pPr>
      <w:r>
        <w:t>As a reminder, potential Offerors are cautioned against relying on any verbal information shared during the Conference.  The RFP may only be amended by written documentation, posted to the state’s eProcurement System, IPRO POWERED BY LUMA.</w:t>
      </w:r>
    </w:p>
    <w:p w14:paraId="1FA001D2" w14:textId="77777777" w:rsidR="00820673" w:rsidRDefault="00820673" w:rsidP="001B44B9">
      <w:pPr>
        <w:jc w:val="both"/>
      </w:pPr>
    </w:p>
    <w:p w14:paraId="514901DA" w14:textId="77777777" w:rsidR="00820673" w:rsidRDefault="00820673" w:rsidP="001B44B9">
      <w:pPr>
        <w:jc w:val="both"/>
      </w:pPr>
    </w:p>
    <w:tbl>
      <w:tblPr>
        <w:tblStyle w:val="TableGrid"/>
        <w:tblW w:w="10847" w:type="dxa"/>
        <w:tblLook w:val="04A0" w:firstRow="1" w:lastRow="0" w:firstColumn="1" w:lastColumn="0" w:noHBand="0" w:noVBand="1"/>
      </w:tblPr>
      <w:tblGrid>
        <w:gridCol w:w="1975"/>
        <w:gridCol w:w="3330"/>
        <w:gridCol w:w="3780"/>
        <w:gridCol w:w="1762"/>
      </w:tblGrid>
      <w:tr w:rsidR="00820673" w:rsidRPr="00820673" w14:paraId="023B2AEA" w14:textId="77777777" w:rsidTr="00820673">
        <w:trPr>
          <w:trHeight w:val="360"/>
        </w:trPr>
        <w:tc>
          <w:tcPr>
            <w:tcW w:w="1975" w:type="dxa"/>
            <w:shd w:val="clear" w:color="auto" w:fill="D9D9D9" w:themeFill="background1" w:themeFillShade="D9"/>
            <w:vAlign w:val="center"/>
          </w:tcPr>
          <w:p w14:paraId="76E80490" w14:textId="2099DF4F" w:rsidR="00820673" w:rsidRPr="00820673" w:rsidRDefault="00820673" w:rsidP="00820673">
            <w:pPr>
              <w:jc w:val="center"/>
              <w:rPr>
                <w:b/>
                <w:bCs/>
              </w:rPr>
            </w:pPr>
            <w:r>
              <w:rPr>
                <w:b/>
                <w:bCs/>
              </w:rPr>
              <w:t>Individuals Name</w:t>
            </w:r>
          </w:p>
        </w:tc>
        <w:tc>
          <w:tcPr>
            <w:tcW w:w="3330" w:type="dxa"/>
            <w:shd w:val="clear" w:color="auto" w:fill="D9D9D9" w:themeFill="background1" w:themeFillShade="D9"/>
            <w:vAlign w:val="center"/>
          </w:tcPr>
          <w:p w14:paraId="3E03EEBD" w14:textId="114089CD" w:rsidR="00820673" w:rsidRPr="00820673" w:rsidRDefault="00820673" w:rsidP="00820673">
            <w:pPr>
              <w:jc w:val="center"/>
              <w:rPr>
                <w:b/>
                <w:bCs/>
              </w:rPr>
            </w:pPr>
            <w:r>
              <w:rPr>
                <w:b/>
                <w:bCs/>
              </w:rPr>
              <w:t>Company</w:t>
            </w:r>
          </w:p>
        </w:tc>
        <w:tc>
          <w:tcPr>
            <w:tcW w:w="3780" w:type="dxa"/>
            <w:shd w:val="clear" w:color="auto" w:fill="D9D9D9" w:themeFill="background1" w:themeFillShade="D9"/>
            <w:vAlign w:val="center"/>
          </w:tcPr>
          <w:p w14:paraId="37EAAE30" w14:textId="059D4D3B" w:rsidR="00820673" w:rsidRPr="00820673" w:rsidRDefault="00820673" w:rsidP="00820673">
            <w:pPr>
              <w:jc w:val="center"/>
              <w:rPr>
                <w:b/>
                <w:bCs/>
              </w:rPr>
            </w:pPr>
            <w:r>
              <w:rPr>
                <w:b/>
                <w:bCs/>
              </w:rPr>
              <w:t>Email Address</w:t>
            </w:r>
          </w:p>
        </w:tc>
        <w:tc>
          <w:tcPr>
            <w:tcW w:w="1762" w:type="dxa"/>
            <w:shd w:val="clear" w:color="auto" w:fill="D9D9D9" w:themeFill="background1" w:themeFillShade="D9"/>
            <w:vAlign w:val="center"/>
          </w:tcPr>
          <w:p w14:paraId="412945FF" w14:textId="60F9F96A" w:rsidR="00820673" w:rsidRPr="00820673" w:rsidRDefault="00820673" w:rsidP="00820673">
            <w:pPr>
              <w:jc w:val="center"/>
              <w:rPr>
                <w:b/>
                <w:bCs/>
              </w:rPr>
            </w:pPr>
            <w:r>
              <w:rPr>
                <w:b/>
                <w:bCs/>
              </w:rPr>
              <w:t>Phone Number</w:t>
            </w:r>
          </w:p>
        </w:tc>
      </w:tr>
      <w:tr w:rsidR="00820673" w14:paraId="43864FB3" w14:textId="77777777" w:rsidTr="00820673">
        <w:trPr>
          <w:trHeight w:val="360"/>
        </w:trPr>
        <w:tc>
          <w:tcPr>
            <w:tcW w:w="1975" w:type="dxa"/>
            <w:vAlign w:val="center"/>
          </w:tcPr>
          <w:p w14:paraId="32E9FED8" w14:textId="77777777" w:rsidR="00820673" w:rsidRDefault="00820673" w:rsidP="001B44B9">
            <w:pPr>
              <w:jc w:val="both"/>
            </w:pPr>
          </w:p>
        </w:tc>
        <w:tc>
          <w:tcPr>
            <w:tcW w:w="3330" w:type="dxa"/>
            <w:vAlign w:val="center"/>
          </w:tcPr>
          <w:p w14:paraId="55E261E9" w14:textId="77777777" w:rsidR="00820673" w:rsidRDefault="00820673" w:rsidP="001B44B9">
            <w:pPr>
              <w:jc w:val="both"/>
            </w:pPr>
          </w:p>
        </w:tc>
        <w:tc>
          <w:tcPr>
            <w:tcW w:w="3780" w:type="dxa"/>
            <w:vAlign w:val="center"/>
          </w:tcPr>
          <w:p w14:paraId="68D31663" w14:textId="77777777" w:rsidR="00820673" w:rsidRDefault="00820673" w:rsidP="001B44B9">
            <w:pPr>
              <w:jc w:val="both"/>
            </w:pPr>
          </w:p>
        </w:tc>
        <w:tc>
          <w:tcPr>
            <w:tcW w:w="1762" w:type="dxa"/>
            <w:vAlign w:val="center"/>
          </w:tcPr>
          <w:p w14:paraId="050EBFA4" w14:textId="77777777" w:rsidR="00820673" w:rsidRDefault="00820673" w:rsidP="001B44B9">
            <w:pPr>
              <w:jc w:val="both"/>
            </w:pPr>
          </w:p>
        </w:tc>
      </w:tr>
      <w:tr w:rsidR="00820673" w14:paraId="1A27AC2C" w14:textId="77777777" w:rsidTr="00820673">
        <w:trPr>
          <w:trHeight w:val="360"/>
        </w:trPr>
        <w:tc>
          <w:tcPr>
            <w:tcW w:w="1975" w:type="dxa"/>
            <w:vAlign w:val="center"/>
          </w:tcPr>
          <w:p w14:paraId="12AC5874" w14:textId="77777777" w:rsidR="00820673" w:rsidRDefault="00820673" w:rsidP="001B44B9">
            <w:pPr>
              <w:jc w:val="both"/>
            </w:pPr>
          </w:p>
        </w:tc>
        <w:tc>
          <w:tcPr>
            <w:tcW w:w="3330" w:type="dxa"/>
            <w:vAlign w:val="center"/>
          </w:tcPr>
          <w:p w14:paraId="78CA061F" w14:textId="77777777" w:rsidR="00820673" w:rsidRDefault="00820673" w:rsidP="001B44B9">
            <w:pPr>
              <w:jc w:val="both"/>
            </w:pPr>
          </w:p>
        </w:tc>
        <w:tc>
          <w:tcPr>
            <w:tcW w:w="3780" w:type="dxa"/>
            <w:vAlign w:val="center"/>
          </w:tcPr>
          <w:p w14:paraId="7959C500" w14:textId="77777777" w:rsidR="00820673" w:rsidRDefault="00820673" w:rsidP="001B44B9">
            <w:pPr>
              <w:jc w:val="both"/>
            </w:pPr>
          </w:p>
        </w:tc>
        <w:tc>
          <w:tcPr>
            <w:tcW w:w="1762" w:type="dxa"/>
            <w:vAlign w:val="center"/>
          </w:tcPr>
          <w:p w14:paraId="03E78704" w14:textId="77777777" w:rsidR="00820673" w:rsidRDefault="00820673" w:rsidP="001B44B9">
            <w:pPr>
              <w:jc w:val="both"/>
            </w:pPr>
          </w:p>
        </w:tc>
      </w:tr>
      <w:tr w:rsidR="00820673" w14:paraId="19ECA9E5" w14:textId="77777777" w:rsidTr="00820673">
        <w:trPr>
          <w:trHeight w:val="360"/>
        </w:trPr>
        <w:tc>
          <w:tcPr>
            <w:tcW w:w="1975" w:type="dxa"/>
            <w:vAlign w:val="center"/>
          </w:tcPr>
          <w:p w14:paraId="7F04DE3C" w14:textId="77777777" w:rsidR="00820673" w:rsidRDefault="00820673" w:rsidP="001B44B9">
            <w:pPr>
              <w:jc w:val="both"/>
            </w:pPr>
          </w:p>
        </w:tc>
        <w:tc>
          <w:tcPr>
            <w:tcW w:w="3330" w:type="dxa"/>
            <w:vAlign w:val="center"/>
          </w:tcPr>
          <w:p w14:paraId="78CEA439" w14:textId="77777777" w:rsidR="00820673" w:rsidRDefault="00820673" w:rsidP="001B44B9">
            <w:pPr>
              <w:jc w:val="both"/>
            </w:pPr>
          </w:p>
        </w:tc>
        <w:tc>
          <w:tcPr>
            <w:tcW w:w="3780" w:type="dxa"/>
            <w:vAlign w:val="center"/>
          </w:tcPr>
          <w:p w14:paraId="2A7F056F" w14:textId="77777777" w:rsidR="00820673" w:rsidRDefault="00820673" w:rsidP="001B44B9">
            <w:pPr>
              <w:jc w:val="both"/>
            </w:pPr>
          </w:p>
        </w:tc>
        <w:tc>
          <w:tcPr>
            <w:tcW w:w="1762" w:type="dxa"/>
            <w:vAlign w:val="center"/>
          </w:tcPr>
          <w:p w14:paraId="66004E5C" w14:textId="77777777" w:rsidR="00820673" w:rsidRDefault="00820673" w:rsidP="001B44B9">
            <w:pPr>
              <w:jc w:val="both"/>
            </w:pPr>
          </w:p>
        </w:tc>
      </w:tr>
      <w:tr w:rsidR="00820673" w14:paraId="4B960689" w14:textId="77777777" w:rsidTr="00820673">
        <w:trPr>
          <w:trHeight w:val="360"/>
        </w:trPr>
        <w:tc>
          <w:tcPr>
            <w:tcW w:w="1975" w:type="dxa"/>
            <w:vAlign w:val="center"/>
          </w:tcPr>
          <w:p w14:paraId="273E6B64" w14:textId="77777777" w:rsidR="00820673" w:rsidRDefault="00820673" w:rsidP="001B44B9">
            <w:pPr>
              <w:jc w:val="both"/>
            </w:pPr>
          </w:p>
        </w:tc>
        <w:tc>
          <w:tcPr>
            <w:tcW w:w="3330" w:type="dxa"/>
            <w:vAlign w:val="center"/>
          </w:tcPr>
          <w:p w14:paraId="20AAB3D2" w14:textId="77777777" w:rsidR="00820673" w:rsidRDefault="00820673" w:rsidP="001B44B9">
            <w:pPr>
              <w:jc w:val="both"/>
            </w:pPr>
          </w:p>
        </w:tc>
        <w:tc>
          <w:tcPr>
            <w:tcW w:w="3780" w:type="dxa"/>
            <w:vAlign w:val="center"/>
          </w:tcPr>
          <w:p w14:paraId="4FC1469F" w14:textId="77777777" w:rsidR="00820673" w:rsidRDefault="00820673" w:rsidP="001B44B9">
            <w:pPr>
              <w:jc w:val="both"/>
            </w:pPr>
          </w:p>
        </w:tc>
        <w:tc>
          <w:tcPr>
            <w:tcW w:w="1762" w:type="dxa"/>
            <w:vAlign w:val="center"/>
          </w:tcPr>
          <w:p w14:paraId="44BF189B" w14:textId="77777777" w:rsidR="00820673" w:rsidRDefault="00820673" w:rsidP="001B44B9">
            <w:pPr>
              <w:jc w:val="both"/>
            </w:pPr>
          </w:p>
        </w:tc>
      </w:tr>
      <w:tr w:rsidR="00820673" w14:paraId="3E5457F5" w14:textId="77777777" w:rsidTr="00820673">
        <w:trPr>
          <w:trHeight w:val="360"/>
        </w:trPr>
        <w:tc>
          <w:tcPr>
            <w:tcW w:w="1975" w:type="dxa"/>
            <w:vAlign w:val="center"/>
          </w:tcPr>
          <w:p w14:paraId="55859035" w14:textId="77777777" w:rsidR="00820673" w:rsidRDefault="00820673" w:rsidP="001B44B9">
            <w:pPr>
              <w:jc w:val="both"/>
            </w:pPr>
          </w:p>
        </w:tc>
        <w:tc>
          <w:tcPr>
            <w:tcW w:w="3330" w:type="dxa"/>
            <w:vAlign w:val="center"/>
          </w:tcPr>
          <w:p w14:paraId="7FFA244E" w14:textId="77777777" w:rsidR="00820673" w:rsidRDefault="00820673" w:rsidP="001B44B9">
            <w:pPr>
              <w:jc w:val="both"/>
            </w:pPr>
          </w:p>
        </w:tc>
        <w:tc>
          <w:tcPr>
            <w:tcW w:w="3780" w:type="dxa"/>
            <w:vAlign w:val="center"/>
          </w:tcPr>
          <w:p w14:paraId="3A4FC97C" w14:textId="77777777" w:rsidR="00820673" w:rsidRDefault="00820673" w:rsidP="001B44B9">
            <w:pPr>
              <w:jc w:val="both"/>
            </w:pPr>
          </w:p>
        </w:tc>
        <w:tc>
          <w:tcPr>
            <w:tcW w:w="1762" w:type="dxa"/>
            <w:vAlign w:val="center"/>
          </w:tcPr>
          <w:p w14:paraId="21F16B59" w14:textId="77777777" w:rsidR="00820673" w:rsidRDefault="00820673" w:rsidP="001B44B9">
            <w:pPr>
              <w:jc w:val="both"/>
            </w:pPr>
          </w:p>
        </w:tc>
      </w:tr>
    </w:tbl>
    <w:p w14:paraId="5309CD5F" w14:textId="77777777" w:rsidR="00820673" w:rsidRDefault="00820673" w:rsidP="001B44B9">
      <w:pPr>
        <w:jc w:val="both"/>
      </w:pPr>
    </w:p>
    <w:p w14:paraId="4F419DF3" w14:textId="77777777" w:rsidR="00554A00" w:rsidRDefault="00554A00" w:rsidP="001B44B9">
      <w:pPr>
        <w:jc w:val="both"/>
      </w:pPr>
    </w:p>
    <w:p w14:paraId="1C59741B" w14:textId="77777777" w:rsidR="00554A00" w:rsidRDefault="00554A00" w:rsidP="001B44B9">
      <w:pPr>
        <w:jc w:val="both"/>
      </w:pPr>
    </w:p>
    <w:p w14:paraId="464D2ED8" w14:textId="77777777" w:rsidR="00554A00" w:rsidRDefault="00554A00" w:rsidP="001B44B9">
      <w:pPr>
        <w:jc w:val="both"/>
      </w:pPr>
    </w:p>
    <w:p w14:paraId="3E7C5CFD" w14:textId="77777777" w:rsidR="00B15FC7" w:rsidRDefault="00B15FC7">
      <w:pPr>
        <w:rPr>
          <w:spacing w:val="20"/>
          <w:sz w:val="48"/>
          <w:szCs w:val="48"/>
        </w:rPr>
      </w:pPr>
      <w:r>
        <w:rPr>
          <w:spacing w:val="20"/>
          <w:sz w:val="48"/>
          <w:szCs w:val="48"/>
        </w:rPr>
        <w:br w:type="page"/>
      </w:r>
    </w:p>
    <w:p w14:paraId="2F621A6E" w14:textId="7D1B0659" w:rsidR="00554A00" w:rsidRPr="00B84CEF" w:rsidRDefault="00554A00" w:rsidP="00554A00">
      <w:pPr>
        <w:jc w:val="center"/>
        <w:rPr>
          <w:spacing w:val="20"/>
          <w:sz w:val="48"/>
          <w:szCs w:val="48"/>
        </w:rPr>
      </w:pPr>
      <w:r>
        <w:rPr>
          <w:spacing w:val="20"/>
          <w:sz w:val="48"/>
          <w:szCs w:val="48"/>
        </w:rPr>
        <w:lastRenderedPageBreak/>
        <w:t>EXHIBIT 10</w:t>
      </w:r>
    </w:p>
    <w:p w14:paraId="619CB883" w14:textId="77777777" w:rsidR="00554A00" w:rsidRPr="00B84CEF" w:rsidRDefault="00554A00" w:rsidP="00554A00">
      <w:pPr>
        <w:shd w:val="clear" w:color="auto" w:fill="F2F2F2" w:themeFill="background1" w:themeFillShade="F2"/>
        <w:jc w:val="center"/>
        <w:rPr>
          <w:b/>
          <w:bCs/>
          <w:spacing w:val="20"/>
          <w:sz w:val="36"/>
          <w:szCs w:val="36"/>
        </w:rPr>
      </w:pPr>
      <w:r>
        <w:rPr>
          <w:b/>
          <w:bCs/>
          <w:spacing w:val="20"/>
          <w:sz w:val="36"/>
          <w:szCs w:val="36"/>
        </w:rPr>
        <w:t xml:space="preserve">Questions </w:t>
      </w:r>
    </w:p>
    <w:p w14:paraId="32A9C440" w14:textId="77777777" w:rsidR="00554A00" w:rsidRDefault="00554A00" w:rsidP="001B44B9">
      <w:pPr>
        <w:jc w:val="both"/>
      </w:pPr>
    </w:p>
    <w:p w14:paraId="1A653A44" w14:textId="1793EFE1" w:rsidR="00EA4AD7" w:rsidRDefault="005C6A03" w:rsidP="00EA4AD7">
      <w:pPr>
        <w:jc w:val="both"/>
        <w:rPr>
          <w:sz w:val="24"/>
          <w:szCs w:val="24"/>
        </w:rPr>
      </w:pPr>
      <w:r>
        <w:rPr>
          <w:b/>
          <w:bCs/>
          <w:sz w:val="24"/>
          <w:szCs w:val="24"/>
        </w:rPr>
        <w:t>Offeror Questions Form Instructions</w:t>
      </w:r>
    </w:p>
    <w:p w14:paraId="387906AA" w14:textId="77777777" w:rsidR="00EA4AD7" w:rsidRPr="00637E7B" w:rsidRDefault="00EA4AD7" w:rsidP="00EA4AD7">
      <w:pPr>
        <w:jc w:val="both"/>
        <w:rPr>
          <w:sz w:val="24"/>
          <w:szCs w:val="24"/>
        </w:rPr>
      </w:pPr>
      <w:r>
        <w:t>The</w:t>
      </w:r>
      <w:r>
        <w:rPr>
          <w:sz w:val="24"/>
          <w:szCs w:val="24"/>
        </w:rPr>
        <w:t xml:space="preserve"> </w:t>
      </w:r>
      <w:r>
        <w:rPr>
          <w:rFonts w:cs="Arial"/>
          <w:bCs/>
        </w:rPr>
        <w:t>following instructions must be followed when submitting questions using the Offeror Question form on the following page.</w:t>
      </w:r>
    </w:p>
    <w:p w14:paraId="160177EF" w14:textId="77777777" w:rsidR="00EA4AD7" w:rsidRDefault="00EA4AD7" w:rsidP="00EA4AD7">
      <w:pPr>
        <w:jc w:val="both"/>
        <w:rPr>
          <w:b/>
          <w:bCs/>
          <w:sz w:val="24"/>
          <w:szCs w:val="24"/>
        </w:rPr>
      </w:pPr>
    </w:p>
    <w:p w14:paraId="3143334E" w14:textId="77777777" w:rsidR="00395F5B" w:rsidRDefault="00EA4AD7" w:rsidP="00007DE4">
      <w:pPr>
        <w:pStyle w:val="ListParagraph"/>
        <w:numPr>
          <w:ilvl w:val="0"/>
          <w:numId w:val="15"/>
        </w:numPr>
        <w:jc w:val="both"/>
      </w:pPr>
      <w:r>
        <w:t xml:space="preserve">Questions form must be uploaded into the Q&amp;A Forum section within IPRO. </w:t>
      </w:r>
    </w:p>
    <w:p w14:paraId="7A13FFA3" w14:textId="77777777" w:rsidR="00395F5B" w:rsidRDefault="00395F5B" w:rsidP="00007DE4">
      <w:pPr>
        <w:pStyle w:val="ListParagraph"/>
        <w:numPr>
          <w:ilvl w:val="0"/>
          <w:numId w:val="15"/>
        </w:numPr>
        <w:jc w:val="both"/>
      </w:pPr>
      <w:r>
        <w:t xml:space="preserve">Questions must be received by the deadline specified in the Procurement Schedule (Section 1.2).  </w:t>
      </w:r>
    </w:p>
    <w:p w14:paraId="6C431B48" w14:textId="7D7454CE" w:rsidR="00395F5B" w:rsidRDefault="00395F5B" w:rsidP="00007DE4">
      <w:pPr>
        <w:pStyle w:val="ListParagraph"/>
        <w:numPr>
          <w:ilvl w:val="0"/>
          <w:numId w:val="15"/>
        </w:numPr>
        <w:jc w:val="both"/>
      </w:pPr>
      <w:r>
        <w:t xml:space="preserve">The Offeror must use the Offeror Questions form on the following page, to submit all questions . </w:t>
      </w:r>
    </w:p>
    <w:p w14:paraId="657A77CA" w14:textId="77777777" w:rsidR="00395F5B" w:rsidRDefault="00395F5B" w:rsidP="00007DE4">
      <w:pPr>
        <w:pStyle w:val="ListParagraph"/>
        <w:numPr>
          <w:ilvl w:val="0"/>
          <w:numId w:val="15"/>
        </w:numPr>
        <w:jc w:val="both"/>
      </w:pPr>
      <w:r>
        <w:t>Do not change the format, font, font style, or font colors.</w:t>
      </w:r>
    </w:p>
    <w:p w14:paraId="26526A1C" w14:textId="77777777" w:rsidR="00395F5B" w:rsidRDefault="00395F5B" w:rsidP="00007DE4">
      <w:pPr>
        <w:pStyle w:val="ListParagraph"/>
        <w:numPr>
          <w:ilvl w:val="0"/>
          <w:numId w:val="15"/>
        </w:numPr>
        <w:jc w:val="both"/>
      </w:pPr>
      <w:r>
        <w:t>Do not identify your name, your company’s name, or product names of intellectual property in your questions.</w:t>
      </w:r>
    </w:p>
    <w:p w14:paraId="42BD72F6" w14:textId="5AD2F19A" w:rsidR="00395F5B" w:rsidRDefault="00395F5B" w:rsidP="00007DE4">
      <w:pPr>
        <w:pStyle w:val="ListParagraph"/>
        <w:numPr>
          <w:ilvl w:val="0"/>
          <w:numId w:val="15"/>
        </w:numPr>
        <w:jc w:val="both"/>
      </w:pPr>
      <w:r>
        <w:t>Enter the RFP section number that the question is for in the “RFP Section” field (column 2).  If the question is a general question not related to a specific RFP section, enter “General” in column 2.  If the question is in regard to an attachment, enter the attachment identifier (example “Attachment 1”) in the “RFP Section” (column 2), and the attachment page number in the “RFP page” field (column 3).</w:t>
      </w:r>
    </w:p>
    <w:p w14:paraId="78F02972" w14:textId="77777777" w:rsidR="00395F5B" w:rsidRDefault="00395F5B" w:rsidP="00007DE4">
      <w:pPr>
        <w:pStyle w:val="ListParagraph"/>
        <w:numPr>
          <w:ilvl w:val="0"/>
          <w:numId w:val="15"/>
        </w:numPr>
        <w:jc w:val="both"/>
      </w:pPr>
      <w:r>
        <w:t>Do not enter text in the “Response” field (column 5).  This is for the State’s use only.</w:t>
      </w:r>
    </w:p>
    <w:p w14:paraId="0759A4AA" w14:textId="3072F1B4" w:rsidR="001B44B9" w:rsidRDefault="001B44B9" w:rsidP="00395F5B">
      <w:pPr>
        <w:pStyle w:val="ListParagraph"/>
        <w:jc w:val="both"/>
      </w:pPr>
    </w:p>
    <w:p w14:paraId="745C9DD8" w14:textId="77777777" w:rsidR="001B44B9" w:rsidRDefault="001B44B9" w:rsidP="001B44B9">
      <w:pPr>
        <w:jc w:val="both"/>
      </w:pPr>
    </w:p>
    <w:p w14:paraId="23556803" w14:textId="77777777" w:rsidR="009259F6" w:rsidRDefault="009259F6" w:rsidP="001B44B9">
      <w:pPr>
        <w:jc w:val="both"/>
      </w:pPr>
    </w:p>
    <w:p w14:paraId="51361363" w14:textId="77777777" w:rsidR="009259F6" w:rsidRDefault="009259F6" w:rsidP="009259F6">
      <w:pPr>
        <w:jc w:val="both"/>
      </w:pPr>
    </w:p>
    <w:p w14:paraId="02E502BD" w14:textId="77777777" w:rsidR="001B44B9" w:rsidRDefault="001B44B9" w:rsidP="001B44B9">
      <w:pPr>
        <w:jc w:val="both"/>
      </w:pPr>
    </w:p>
    <w:p w14:paraId="026926E8" w14:textId="77777777" w:rsidR="009259F6" w:rsidRDefault="009259F6" w:rsidP="001B44B9">
      <w:pPr>
        <w:jc w:val="both"/>
      </w:pPr>
    </w:p>
    <w:p w14:paraId="55AA80D6" w14:textId="7A645BD3" w:rsidR="009259F6" w:rsidRDefault="009259F6">
      <w:r>
        <w:br w:type="page"/>
      </w:r>
    </w:p>
    <w:p w14:paraId="1BC30E0C" w14:textId="59CCB6F5" w:rsidR="00976500" w:rsidRPr="00976500" w:rsidRDefault="00227001" w:rsidP="009259F6">
      <w:pPr>
        <w:rPr>
          <w:rFonts w:cstheme="minorHAnsi"/>
          <w:sz w:val="32"/>
          <w:szCs w:val="32"/>
        </w:rPr>
      </w:pPr>
      <w:r>
        <w:rPr>
          <w:rFonts w:cstheme="minorHAnsi"/>
          <w:sz w:val="32"/>
          <w:szCs w:val="32"/>
        </w:rPr>
        <w:lastRenderedPageBreak/>
        <w:t>Offeror Questions</w:t>
      </w:r>
    </w:p>
    <w:p w14:paraId="77EBC620" w14:textId="1B097CAC" w:rsidR="00976500" w:rsidRDefault="001F3C15" w:rsidP="009259F6">
      <w:pPr>
        <w:rPr>
          <w:rFonts w:cstheme="minorHAnsi"/>
        </w:rPr>
      </w:pPr>
      <w:r>
        <w:rPr>
          <w:rFonts w:cstheme="minorHAnsi"/>
        </w:rPr>
        <w:t>RFP #1263 - Senior Community Service Employment Program</w:t>
      </w:r>
    </w:p>
    <w:p w14:paraId="705BDACA" w14:textId="77777777" w:rsidR="001F3C15" w:rsidRPr="00B52A74" w:rsidRDefault="001F3C15" w:rsidP="009259F6">
      <w:pPr>
        <w:rPr>
          <w:rFonts w:cstheme="minorHAnsi"/>
        </w:rPr>
      </w:pPr>
    </w:p>
    <w:tbl>
      <w:tblPr>
        <w:tblW w:w="1071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1170"/>
        <w:gridCol w:w="720"/>
        <w:gridCol w:w="4860"/>
        <w:gridCol w:w="3420"/>
      </w:tblGrid>
      <w:tr w:rsidR="009259F6" w:rsidRPr="00831F65" w14:paraId="1D082895" w14:textId="77777777" w:rsidTr="00227001">
        <w:trPr>
          <w:cantSplit/>
          <w:tblHeader/>
        </w:trPr>
        <w:tc>
          <w:tcPr>
            <w:tcW w:w="542" w:type="dxa"/>
            <w:tcBorders>
              <w:top w:val="single" w:sz="12" w:space="0" w:color="auto"/>
              <w:bottom w:val="single" w:sz="12" w:space="0" w:color="auto"/>
            </w:tcBorders>
            <w:shd w:val="clear" w:color="auto" w:fill="404040" w:themeFill="text1" w:themeFillTint="BF"/>
            <w:vAlign w:val="center"/>
          </w:tcPr>
          <w:p w14:paraId="4CFF1366" w14:textId="301DB56E" w:rsidR="009259F6" w:rsidRPr="00831F65" w:rsidRDefault="00976500" w:rsidP="00976500">
            <w:pPr>
              <w:jc w:val="center"/>
              <w:rPr>
                <w:rFonts w:cs="Arial"/>
                <w:b/>
                <w:color w:val="FFFFFF"/>
              </w:rPr>
            </w:pPr>
            <w:r>
              <w:rPr>
                <w:rFonts w:cs="Arial"/>
                <w:b/>
                <w:color w:val="FFFFFF"/>
              </w:rPr>
              <w:t>No</w:t>
            </w:r>
          </w:p>
        </w:tc>
        <w:tc>
          <w:tcPr>
            <w:tcW w:w="1170" w:type="dxa"/>
            <w:tcBorders>
              <w:top w:val="single" w:sz="12" w:space="0" w:color="auto"/>
              <w:bottom w:val="single" w:sz="12" w:space="0" w:color="auto"/>
            </w:tcBorders>
            <w:shd w:val="clear" w:color="auto" w:fill="404040" w:themeFill="text1" w:themeFillTint="BF"/>
            <w:vAlign w:val="center"/>
          </w:tcPr>
          <w:p w14:paraId="70980818" w14:textId="77777777" w:rsidR="009259F6" w:rsidRPr="00831F65" w:rsidRDefault="009259F6" w:rsidP="002C7643">
            <w:pPr>
              <w:jc w:val="center"/>
              <w:rPr>
                <w:rFonts w:cs="Arial"/>
                <w:b/>
                <w:color w:val="FFFFFF"/>
              </w:rPr>
            </w:pPr>
            <w:r>
              <w:rPr>
                <w:rFonts w:cs="Arial"/>
                <w:b/>
                <w:color w:val="FFFFFF"/>
              </w:rPr>
              <w:t>RFP Section</w:t>
            </w:r>
          </w:p>
        </w:tc>
        <w:tc>
          <w:tcPr>
            <w:tcW w:w="720" w:type="dxa"/>
            <w:tcBorders>
              <w:top w:val="single" w:sz="12" w:space="0" w:color="auto"/>
              <w:bottom w:val="single" w:sz="12" w:space="0" w:color="auto"/>
            </w:tcBorders>
            <w:shd w:val="clear" w:color="auto" w:fill="404040" w:themeFill="text1" w:themeFillTint="BF"/>
            <w:vAlign w:val="center"/>
          </w:tcPr>
          <w:p w14:paraId="137B6AF8" w14:textId="77777777" w:rsidR="009259F6" w:rsidRPr="00831F65" w:rsidRDefault="009259F6" w:rsidP="002C7643">
            <w:pPr>
              <w:jc w:val="center"/>
              <w:rPr>
                <w:rFonts w:cs="Arial"/>
                <w:b/>
                <w:color w:val="FFFFFF"/>
              </w:rPr>
            </w:pPr>
            <w:r>
              <w:rPr>
                <w:rFonts w:cs="Arial"/>
                <w:b/>
                <w:color w:val="FFFFFF"/>
              </w:rPr>
              <w:t>RFP Page</w:t>
            </w:r>
          </w:p>
        </w:tc>
        <w:tc>
          <w:tcPr>
            <w:tcW w:w="4860" w:type="dxa"/>
            <w:tcBorders>
              <w:top w:val="single" w:sz="12" w:space="0" w:color="auto"/>
              <w:bottom w:val="single" w:sz="12" w:space="0" w:color="auto"/>
            </w:tcBorders>
            <w:shd w:val="clear" w:color="auto" w:fill="404040" w:themeFill="text1" w:themeFillTint="BF"/>
            <w:tcMar>
              <w:top w:w="43" w:type="dxa"/>
              <w:left w:w="115" w:type="dxa"/>
              <w:bottom w:w="43" w:type="dxa"/>
              <w:right w:w="115" w:type="dxa"/>
            </w:tcMar>
            <w:vAlign w:val="center"/>
          </w:tcPr>
          <w:p w14:paraId="00C37574" w14:textId="77777777" w:rsidR="009259F6" w:rsidRPr="00831F65" w:rsidRDefault="009259F6" w:rsidP="002C7643">
            <w:pPr>
              <w:jc w:val="center"/>
              <w:rPr>
                <w:rFonts w:cs="Arial"/>
                <w:b/>
                <w:color w:val="FFFFFF"/>
              </w:rPr>
            </w:pPr>
            <w:r>
              <w:rPr>
                <w:rFonts w:cs="Arial"/>
                <w:b/>
                <w:color w:val="FFFFFF"/>
              </w:rPr>
              <w:t>Question</w:t>
            </w:r>
          </w:p>
        </w:tc>
        <w:tc>
          <w:tcPr>
            <w:tcW w:w="3420" w:type="dxa"/>
            <w:tcBorders>
              <w:top w:val="single" w:sz="12" w:space="0" w:color="auto"/>
              <w:bottom w:val="single" w:sz="12" w:space="0" w:color="auto"/>
            </w:tcBorders>
            <w:shd w:val="clear" w:color="auto" w:fill="404040" w:themeFill="text1" w:themeFillTint="BF"/>
            <w:tcMar>
              <w:top w:w="43" w:type="dxa"/>
              <w:left w:w="115" w:type="dxa"/>
              <w:bottom w:w="43" w:type="dxa"/>
              <w:right w:w="115" w:type="dxa"/>
            </w:tcMar>
            <w:vAlign w:val="center"/>
          </w:tcPr>
          <w:p w14:paraId="657D8FF2" w14:textId="77777777" w:rsidR="009259F6" w:rsidRPr="00831F65" w:rsidRDefault="009259F6" w:rsidP="002C7643">
            <w:pPr>
              <w:jc w:val="center"/>
              <w:rPr>
                <w:rFonts w:cs="Arial"/>
                <w:b/>
                <w:color w:val="FFFFFF"/>
              </w:rPr>
            </w:pPr>
            <w:r>
              <w:rPr>
                <w:rFonts w:cs="Arial"/>
                <w:b/>
                <w:color w:val="FFFFFF"/>
              </w:rPr>
              <w:t>Response</w:t>
            </w:r>
          </w:p>
        </w:tc>
      </w:tr>
      <w:tr w:rsidR="009259F6" w:rsidRPr="00831F65" w14:paraId="386328E6" w14:textId="77777777" w:rsidTr="00976500">
        <w:tc>
          <w:tcPr>
            <w:tcW w:w="542" w:type="dxa"/>
            <w:tcBorders>
              <w:top w:val="single" w:sz="12" w:space="0" w:color="auto"/>
            </w:tcBorders>
          </w:tcPr>
          <w:p w14:paraId="5D09B01F" w14:textId="77777777" w:rsidR="009259F6" w:rsidRPr="00831F65" w:rsidRDefault="009259F6" w:rsidP="00976500">
            <w:pPr>
              <w:contextualSpacing/>
              <w:jc w:val="center"/>
              <w:rPr>
                <w:rFonts w:cs="Arial"/>
                <w:sz w:val="20"/>
              </w:rPr>
            </w:pPr>
            <w:r>
              <w:rPr>
                <w:rFonts w:cs="Arial"/>
                <w:sz w:val="20"/>
              </w:rPr>
              <w:t>1</w:t>
            </w:r>
          </w:p>
        </w:tc>
        <w:tc>
          <w:tcPr>
            <w:tcW w:w="1170" w:type="dxa"/>
            <w:tcBorders>
              <w:top w:val="single" w:sz="12" w:space="0" w:color="auto"/>
            </w:tcBorders>
          </w:tcPr>
          <w:p w14:paraId="57B686DA" w14:textId="77777777" w:rsidR="009259F6" w:rsidRPr="00831F65" w:rsidRDefault="009259F6" w:rsidP="002C7643">
            <w:pPr>
              <w:contextualSpacing/>
              <w:rPr>
                <w:rFonts w:cs="Arial"/>
                <w:sz w:val="20"/>
              </w:rPr>
            </w:pPr>
          </w:p>
        </w:tc>
        <w:tc>
          <w:tcPr>
            <w:tcW w:w="720" w:type="dxa"/>
            <w:tcBorders>
              <w:top w:val="single" w:sz="12" w:space="0" w:color="auto"/>
            </w:tcBorders>
          </w:tcPr>
          <w:p w14:paraId="10604120" w14:textId="77777777" w:rsidR="009259F6" w:rsidRPr="00831F65" w:rsidRDefault="009259F6" w:rsidP="002C7643">
            <w:pPr>
              <w:contextualSpacing/>
              <w:rPr>
                <w:rFonts w:cs="Arial"/>
                <w:sz w:val="20"/>
              </w:rPr>
            </w:pPr>
          </w:p>
        </w:tc>
        <w:tc>
          <w:tcPr>
            <w:tcW w:w="4860" w:type="dxa"/>
            <w:tcBorders>
              <w:top w:val="single" w:sz="12" w:space="0" w:color="auto"/>
            </w:tcBorders>
            <w:tcMar>
              <w:top w:w="43" w:type="dxa"/>
              <w:left w:w="115" w:type="dxa"/>
              <w:bottom w:w="43" w:type="dxa"/>
              <w:right w:w="115" w:type="dxa"/>
            </w:tcMar>
          </w:tcPr>
          <w:p w14:paraId="57AF19A1" w14:textId="77777777" w:rsidR="009259F6" w:rsidRPr="00831F65" w:rsidRDefault="009259F6" w:rsidP="002C7643">
            <w:pPr>
              <w:contextualSpacing/>
              <w:rPr>
                <w:rFonts w:cs="Arial"/>
                <w:sz w:val="20"/>
              </w:rPr>
            </w:pPr>
          </w:p>
        </w:tc>
        <w:tc>
          <w:tcPr>
            <w:tcW w:w="3420" w:type="dxa"/>
            <w:tcBorders>
              <w:top w:val="single" w:sz="12" w:space="0" w:color="auto"/>
            </w:tcBorders>
            <w:tcMar>
              <w:top w:w="43" w:type="dxa"/>
              <w:left w:w="115" w:type="dxa"/>
              <w:bottom w:w="43" w:type="dxa"/>
              <w:right w:w="115" w:type="dxa"/>
            </w:tcMar>
          </w:tcPr>
          <w:p w14:paraId="73770762" w14:textId="77777777" w:rsidR="009259F6" w:rsidRPr="00831F65" w:rsidRDefault="009259F6" w:rsidP="002C7643">
            <w:pPr>
              <w:contextualSpacing/>
              <w:rPr>
                <w:rFonts w:cs="Arial"/>
                <w:sz w:val="20"/>
              </w:rPr>
            </w:pPr>
          </w:p>
        </w:tc>
      </w:tr>
      <w:tr w:rsidR="009259F6" w:rsidRPr="00831F65" w14:paraId="19F1CD10" w14:textId="77777777" w:rsidTr="00976500">
        <w:tc>
          <w:tcPr>
            <w:tcW w:w="542" w:type="dxa"/>
          </w:tcPr>
          <w:p w14:paraId="4F24C16B" w14:textId="77777777" w:rsidR="009259F6" w:rsidRPr="00831F65" w:rsidRDefault="009259F6" w:rsidP="00976500">
            <w:pPr>
              <w:contextualSpacing/>
              <w:jc w:val="center"/>
              <w:rPr>
                <w:rFonts w:cs="Arial"/>
                <w:sz w:val="20"/>
              </w:rPr>
            </w:pPr>
            <w:r>
              <w:rPr>
                <w:rFonts w:cs="Arial"/>
                <w:sz w:val="20"/>
              </w:rPr>
              <w:t>2</w:t>
            </w:r>
          </w:p>
        </w:tc>
        <w:tc>
          <w:tcPr>
            <w:tcW w:w="1170" w:type="dxa"/>
          </w:tcPr>
          <w:p w14:paraId="501CF2BF" w14:textId="77777777" w:rsidR="009259F6" w:rsidRPr="00831F65" w:rsidRDefault="009259F6" w:rsidP="002C7643">
            <w:pPr>
              <w:contextualSpacing/>
              <w:rPr>
                <w:rFonts w:eastAsia="Arial Unicode MS" w:cs="Arial"/>
                <w:sz w:val="20"/>
              </w:rPr>
            </w:pPr>
          </w:p>
        </w:tc>
        <w:tc>
          <w:tcPr>
            <w:tcW w:w="720" w:type="dxa"/>
          </w:tcPr>
          <w:p w14:paraId="0199712B" w14:textId="77777777" w:rsidR="009259F6" w:rsidRPr="00831F65" w:rsidRDefault="009259F6" w:rsidP="002C7643">
            <w:pPr>
              <w:contextualSpacing/>
              <w:rPr>
                <w:rFonts w:cs="Arial"/>
                <w:sz w:val="20"/>
              </w:rPr>
            </w:pPr>
          </w:p>
        </w:tc>
        <w:tc>
          <w:tcPr>
            <w:tcW w:w="4860" w:type="dxa"/>
            <w:tcMar>
              <w:top w:w="43" w:type="dxa"/>
              <w:left w:w="115" w:type="dxa"/>
              <w:bottom w:w="43" w:type="dxa"/>
              <w:right w:w="115" w:type="dxa"/>
            </w:tcMar>
          </w:tcPr>
          <w:p w14:paraId="769721AF" w14:textId="77777777" w:rsidR="009259F6" w:rsidRPr="00831F65" w:rsidRDefault="009259F6" w:rsidP="002C7643">
            <w:pPr>
              <w:contextualSpacing/>
              <w:rPr>
                <w:rFonts w:eastAsia="Arial Unicode MS" w:cs="Arial"/>
                <w:sz w:val="20"/>
              </w:rPr>
            </w:pPr>
          </w:p>
        </w:tc>
        <w:tc>
          <w:tcPr>
            <w:tcW w:w="3420" w:type="dxa"/>
            <w:tcMar>
              <w:top w:w="43" w:type="dxa"/>
              <w:left w:w="115" w:type="dxa"/>
              <w:bottom w:w="43" w:type="dxa"/>
              <w:right w:w="115" w:type="dxa"/>
            </w:tcMar>
          </w:tcPr>
          <w:p w14:paraId="1EF43714" w14:textId="77777777" w:rsidR="009259F6" w:rsidRPr="00831F65" w:rsidRDefault="009259F6" w:rsidP="002C7643">
            <w:pPr>
              <w:contextualSpacing/>
              <w:rPr>
                <w:rFonts w:eastAsia="Arial Unicode MS" w:cs="Arial"/>
                <w:sz w:val="20"/>
              </w:rPr>
            </w:pPr>
          </w:p>
        </w:tc>
      </w:tr>
      <w:tr w:rsidR="009259F6" w:rsidRPr="00831F65" w14:paraId="387B7091" w14:textId="77777777" w:rsidTr="00976500">
        <w:tc>
          <w:tcPr>
            <w:tcW w:w="542" w:type="dxa"/>
          </w:tcPr>
          <w:p w14:paraId="6C54ADA2" w14:textId="77777777" w:rsidR="009259F6" w:rsidRPr="00831F65" w:rsidRDefault="009259F6" w:rsidP="00976500">
            <w:pPr>
              <w:contextualSpacing/>
              <w:jc w:val="center"/>
              <w:rPr>
                <w:rFonts w:cs="Arial"/>
                <w:sz w:val="20"/>
              </w:rPr>
            </w:pPr>
            <w:r>
              <w:rPr>
                <w:rFonts w:cs="Arial"/>
                <w:sz w:val="20"/>
              </w:rPr>
              <w:t>3</w:t>
            </w:r>
          </w:p>
        </w:tc>
        <w:tc>
          <w:tcPr>
            <w:tcW w:w="1170" w:type="dxa"/>
          </w:tcPr>
          <w:p w14:paraId="0796235B" w14:textId="77777777" w:rsidR="009259F6" w:rsidRPr="00831F65" w:rsidRDefault="009259F6" w:rsidP="002C7643">
            <w:pPr>
              <w:contextualSpacing/>
              <w:rPr>
                <w:rFonts w:cs="Arial"/>
                <w:sz w:val="20"/>
              </w:rPr>
            </w:pPr>
          </w:p>
        </w:tc>
        <w:tc>
          <w:tcPr>
            <w:tcW w:w="720" w:type="dxa"/>
          </w:tcPr>
          <w:p w14:paraId="25D70525" w14:textId="77777777" w:rsidR="009259F6" w:rsidRPr="00831F65" w:rsidRDefault="009259F6" w:rsidP="002C7643">
            <w:pPr>
              <w:contextualSpacing/>
              <w:rPr>
                <w:rFonts w:cs="Arial"/>
                <w:sz w:val="20"/>
              </w:rPr>
            </w:pPr>
          </w:p>
        </w:tc>
        <w:tc>
          <w:tcPr>
            <w:tcW w:w="4860" w:type="dxa"/>
            <w:tcMar>
              <w:top w:w="43" w:type="dxa"/>
              <w:left w:w="115" w:type="dxa"/>
              <w:bottom w:w="43" w:type="dxa"/>
              <w:right w:w="115" w:type="dxa"/>
            </w:tcMar>
          </w:tcPr>
          <w:p w14:paraId="44ED20ED" w14:textId="77777777" w:rsidR="009259F6" w:rsidRPr="00831F65" w:rsidRDefault="009259F6" w:rsidP="002C7643">
            <w:pPr>
              <w:contextualSpacing/>
              <w:rPr>
                <w:rFonts w:cs="Arial"/>
                <w:sz w:val="20"/>
              </w:rPr>
            </w:pPr>
          </w:p>
        </w:tc>
        <w:tc>
          <w:tcPr>
            <w:tcW w:w="3420" w:type="dxa"/>
            <w:tcMar>
              <w:top w:w="43" w:type="dxa"/>
              <w:left w:w="115" w:type="dxa"/>
              <w:bottom w:w="43" w:type="dxa"/>
              <w:right w:w="115" w:type="dxa"/>
            </w:tcMar>
          </w:tcPr>
          <w:p w14:paraId="5814FEAF" w14:textId="77777777" w:rsidR="009259F6" w:rsidRPr="00831F65" w:rsidRDefault="009259F6" w:rsidP="002C7643">
            <w:pPr>
              <w:contextualSpacing/>
              <w:rPr>
                <w:rFonts w:cs="Arial"/>
                <w:sz w:val="20"/>
              </w:rPr>
            </w:pPr>
          </w:p>
        </w:tc>
      </w:tr>
      <w:tr w:rsidR="009259F6" w:rsidRPr="00831F65" w14:paraId="6B413378" w14:textId="77777777" w:rsidTr="00976500">
        <w:tc>
          <w:tcPr>
            <w:tcW w:w="542" w:type="dxa"/>
          </w:tcPr>
          <w:p w14:paraId="729A4137" w14:textId="77777777" w:rsidR="009259F6" w:rsidRPr="00831F65" w:rsidRDefault="009259F6" w:rsidP="00976500">
            <w:pPr>
              <w:contextualSpacing/>
              <w:jc w:val="center"/>
              <w:rPr>
                <w:rFonts w:cs="Arial"/>
                <w:sz w:val="20"/>
              </w:rPr>
            </w:pPr>
            <w:r>
              <w:rPr>
                <w:rFonts w:cs="Arial"/>
                <w:sz w:val="20"/>
              </w:rPr>
              <w:t>4</w:t>
            </w:r>
          </w:p>
        </w:tc>
        <w:tc>
          <w:tcPr>
            <w:tcW w:w="1170" w:type="dxa"/>
          </w:tcPr>
          <w:p w14:paraId="22C4D351" w14:textId="77777777" w:rsidR="009259F6" w:rsidRPr="00831F65" w:rsidRDefault="009259F6" w:rsidP="002C7643">
            <w:pPr>
              <w:contextualSpacing/>
              <w:rPr>
                <w:rFonts w:cs="Arial"/>
                <w:sz w:val="20"/>
              </w:rPr>
            </w:pPr>
          </w:p>
        </w:tc>
        <w:tc>
          <w:tcPr>
            <w:tcW w:w="720" w:type="dxa"/>
          </w:tcPr>
          <w:p w14:paraId="73EB9979" w14:textId="77777777" w:rsidR="009259F6" w:rsidRPr="00831F65" w:rsidRDefault="009259F6" w:rsidP="002C7643">
            <w:pPr>
              <w:contextualSpacing/>
              <w:rPr>
                <w:rFonts w:cs="Arial"/>
                <w:sz w:val="20"/>
              </w:rPr>
            </w:pPr>
          </w:p>
        </w:tc>
        <w:tc>
          <w:tcPr>
            <w:tcW w:w="4860" w:type="dxa"/>
            <w:tcMar>
              <w:top w:w="43" w:type="dxa"/>
              <w:left w:w="115" w:type="dxa"/>
              <w:bottom w:w="43" w:type="dxa"/>
              <w:right w:w="115" w:type="dxa"/>
            </w:tcMar>
          </w:tcPr>
          <w:p w14:paraId="306BA900" w14:textId="77777777" w:rsidR="009259F6" w:rsidRPr="00831F65" w:rsidRDefault="009259F6" w:rsidP="002C7643">
            <w:pPr>
              <w:contextualSpacing/>
              <w:rPr>
                <w:rFonts w:eastAsia="Arial Unicode MS" w:cs="Arial"/>
                <w:sz w:val="20"/>
              </w:rPr>
            </w:pPr>
          </w:p>
        </w:tc>
        <w:tc>
          <w:tcPr>
            <w:tcW w:w="3420" w:type="dxa"/>
            <w:tcMar>
              <w:top w:w="43" w:type="dxa"/>
              <w:left w:w="115" w:type="dxa"/>
              <w:bottom w:w="43" w:type="dxa"/>
              <w:right w:w="115" w:type="dxa"/>
            </w:tcMar>
          </w:tcPr>
          <w:p w14:paraId="2D3F2A29" w14:textId="77777777" w:rsidR="009259F6" w:rsidRPr="00831F65" w:rsidRDefault="009259F6" w:rsidP="002C7643">
            <w:pPr>
              <w:contextualSpacing/>
              <w:rPr>
                <w:rFonts w:cs="Arial"/>
                <w:sz w:val="20"/>
              </w:rPr>
            </w:pPr>
          </w:p>
        </w:tc>
      </w:tr>
      <w:tr w:rsidR="009259F6" w:rsidRPr="00831F65" w14:paraId="08BF16A4" w14:textId="77777777" w:rsidTr="00976500">
        <w:tc>
          <w:tcPr>
            <w:tcW w:w="542" w:type="dxa"/>
          </w:tcPr>
          <w:p w14:paraId="3F6074DC" w14:textId="77777777" w:rsidR="009259F6" w:rsidRPr="00831F65" w:rsidRDefault="009259F6" w:rsidP="00976500">
            <w:pPr>
              <w:contextualSpacing/>
              <w:jc w:val="center"/>
              <w:rPr>
                <w:rFonts w:cs="Arial"/>
                <w:sz w:val="20"/>
              </w:rPr>
            </w:pPr>
            <w:r>
              <w:rPr>
                <w:rFonts w:cs="Arial"/>
                <w:sz w:val="20"/>
              </w:rPr>
              <w:t>5</w:t>
            </w:r>
          </w:p>
        </w:tc>
        <w:tc>
          <w:tcPr>
            <w:tcW w:w="1170" w:type="dxa"/>
          </w:tcPr>
          <w:p w14:paraId="726FF5E8" w14:textId="77777777" w:rsidR="009259F6" w:rsidRPr="00831F65" w:rsidRDefault="009259F6" w:rsidP="002C7643">
            <w:pPr>
              <w:contextualSpacing/>
              <w:rPr>
                <w:rFonts w:cs="Arial"/>
                <w:sz w:val="20"/>
              </w:rPr>
            </w:pPr>
          </w:p>
        </w:tc>
        <w:tc>
          <w:tcPr>
            <w:tcW w:w="720" w:type="dxa"/>
          </w:tcPr>
          <w:p w14:paraId="4C39CB41" w14:textId="77777777" w:rsidR="009259F6" w:rsidRPr="00831F65" w:rsidRDefault="009259F6" w:rsidP="002C7643">
            <w:pPr>
              <w:contextualSpacing/>
              <w:rPr>
                <w:rFonts w:cs="Arial"/>
                <w:sz w:val="20"/>
              </w:rPr>
            </w:pPr>
          </w:p>
        </w:tc>
        <w:tc>
          <w:tcPr>
            <w:tcW w:w="4860" w:type="dxa"/>
            <w:tcMar>
              <w:top w:w="43" w:type="dxa"/>
              <w:left w:w="115" w:type="dxa"/>
              <w:bottom w:w="43" w:type="dxa"/>
              <w:right w:w="115" w:type="dxa"/>
            </w:tcMar>
          </w:tcPr>
          <w:p w14:paraId="60374DC2" w14:textId="77777777" w:rsidR="009259F6" w:rsidRPr="00831F65" w:rsidRDefault="009259F6" w:rsidP="002C7643">
            <w:pPr>
              <w:contextualSpacing/>
              <w:rPr>
                <w:rFonts w:eastAsia="Arial Unicode MS" w:cs="Arial"/>
                <w:sz w:val="20"/>
              </w:rPr>
            </w:pPr>
          </w:p>
        </w:tc>
        <w:tc>
          <w:tcPr>
            <w:tcW w:w="3420" w:type="dxa"/>
            <w:tcMar>
              <w:top w:w="43" w:type="dxa"/>
              <w:left w:w="115" w:type="dxa"/>
              <w:bottom w:w="43" w:type="dxa"/>
              <w:right w:w="115" w:type="dxa"/>
            </w:tcMar>
          </w:tcPr>
          <w:p w14:paraId="44AF00D0" w14:textId="77777777" w:rsidR="009259F6" w:rsidRPr="00831F65" w:rsidRDefault="009259F6" w:rsidP="002C7643">
            <w:pPr>
              <w:contextualSpacing/>
              <w:rPr>
                <w:rFonts w:cs="Arial"/>
                <w:sz w:val="20"/>
              </w:rPr>
            </w:pPr>
          </w:p>
        </w:tc>
      </w:tr>
      <w:tr w:rsidR="009259F6" w:rsidRPr="00831F65" w14:paraId="3208C2B3" w14:textId="77777777" w:rsidTr="00976500">
        <w:tc>
          <w:tcPr>
            <w:tcW w:w="542" w:type="dxa"/>
          </w:tcPr>
          <w:p w14:paraId="25D43459" w14:textId="77777777" w:rsidR="009259F6" w:rsidRPr="00831F65" w:rsidRDefault="009259F6" w:rsidP="00976500">
            <w:pPr>
              <w:contextualSpacing/>
              <w:jc w:val="center"/>
              <w:rPr>
                <w:rFonts w:cs="Arial"/>
                <w:sz w:val="20"/>
              </w:rPr>
            </w:pPr>
            <w:r>
              <w:rPr>
                <w:rFonts w:cs="Arial"/>
                <w:sz w:val="20"/>
              </w:rPr>
              <w:t>6</w:t>
            </w:r>
          </w:p>
        </w:tc>
        <w:tc>
          <w:tcPr>
            <w:tcW w:w="1170" w:type="dxa"/>
          </w:tcPr>
          <w:p w14:paraId="58E8F899" w14:textId="77777777" w:rsidR="009259F6" w:rsidRPr="00831F65" w:rsidRDefault="009259F6" w:rsidP="002C7643">
            <w:pPr>
              <w:contextualSpacing/>
              <w:rPr>
                <w:rFonts w:cs="Arial"/>
                <w:sz w:val="20"/>
              </w:rPr>
            </w:pPr>
          </w:p>
        </w:tc>
        <w:tc>
          <w:tcPr>
            <w:tcW w:w="720" w:type="dxa"/>
          </w:tcPr>
          <w:p w14:paraId="7C95DD3F" w14:textId="77777777" w:rsidR="009259F6" w:rsidRPr="00831F65" w:rsidRDefault="009259F6" w:rsidP="002C7643">
            <w:pPr>
              <w:contextualSpacing/>
              <w:rPr>
                <w:rFonts w:cs="Arial"/>
                <w:sz w:val="20"/>
              </w:rPr>
            </w:pPr>
          </w:p>
        </w:tc>
        <w:tc>
          <w:tcPr>
            <w:tcW w:w="4860" w:type="dxa"/>
            <w:tcMar>
              <w:top w:w="43" w:type="dxa"/>
              <w:left w:w="115" w:type="dxa"/>
              <w:bottom w:w="43" w:type="dxa"/>
              <w:right w:w="115" w:type="dxa"/>
            </w:tcMar>
          </w:tcPr>
          <w:p w14:paraId="1C55A7A9" w14:textId="77777777" w:rsidR="009259F6" w:rsidRPr="00831F65" w:rsidRDefault="009259F6" w:rsidP="002C7643">
            <w:pPr>
              <w:contextualSpacing/>
              <w:rPr>
                <w:rFonts w:eastAsia="Arial Unicode MS" w:cs="Arial"/>
                <w:sz w:val="20"/>
              </w:rPr>
            </w:pPr>
          </w:p>
        </w:tc>
        <w:tc>
          <w:tcPr>
            <w:tcW w:w="3420" w:type="dxa"/>
            <w:tcMar>
              <w:top w:w="43" w:type="dxa"/>
              <w:left w:w="115" w:type="dxa"/>
              <w:bottom w:w="43" w:type="dxa"/>
              <w:right w:w="115" w:type="dxa"/>
            </w:tcMar>
          </w:tcPr>
          <w:p w14:paraId="1D0DB5EB" w14:textId="77777777" w:rsidR="009259F6" w:rsidRPr="00831F65" w:rsidRDefault="009259F6" w:rsidP="002C7643">
            <w:pPr>
              <w:contextualSpacing/>
              <w:rPr>
                <w:rFonts w:cs="Arial"/>
                <w:sz w:val="20"/>
              </w:rPr>
            </w:pPr>
          </w:p>
        </w:tc>
      </w:tr>
      <w:tr w:rsidR="009259F6" w:rsidRPr="00831F65" w14:paraId="71C20F8B" w14:textId="77777777" w:rsidTr="00976500">
        <w:trPr>
          <w:trHeight w:val="217"/>
        </w:trPr>
        <w:tc>
          <w:tcPr>
            <w:tcW w:w="542" w:type="dxa"/>
          </w:tcPr>
          <w:p w14:paraId="15222E10" w14:textId="77777777" w:rsidR="009259F6" w:rsidRPr="00831F65" w:rsidRDefault="009259F6" w:rsidP="00976500">
            <w:pPr>
              <w:contextualSpacing/>
              <w:jc w:val="center"/>
              <w:rPr>
                <w:rFonts w:cs="Arial"/>
                <w:sz w:val="20"/>
              </w:rPr>
            </w:pPr>
            <w:r>
              <w:rPr>
                <w:rFonts w:cs="Arial"/>
                <w:sz w:val="20"/>
              </w:rPr>
              <w:t>7</w:t>
            </w:r>
          </w:p>
        </w:tc>
        <w:tc>
          <w:tcPr>
            <w:tcW w:w="1170" w:type="dxa"/>
          </w:tcPr>
          <w:p w14:paraId="5B4DD7E7" w14:textId="77777777" w:rsidR="009259F6" w:rsidRPr="00831F65" w:rsidRDefault="009259F6" w:rsidP="002C7643">
            <w:pPr>
              <w:contextualSpacing/>
              <w:rPr>
                <w:rFonts w:cs="Arial"/>
                <w:sz w:val="20"/>
              </w:rPr>
            </w:pPr>
          </w:p>
        </w:tc>
        <w:tc>
          <w:tcPr>
            <w:tcW w:w="720" w:type="dxa"/>
          </w:tcPr>
          <w:p w14:paraId="5460ACAE" w14:textId="77777777" w:rsidR="009259F6" w:rsidRPr="00831F65" w:rsidRDefault="009259F6" w:rsidP="002C7643">
            <w:pPr>
              <w:contextualSpacing/>
              <w:rPr>
                <w:rFonts w:cs="Arial"/>
                <w:sz w:val="20"/>
              </w:rPr>
            </w:pPr>
          </w:p>
        </w:tc>
        <w:tc>
          <w:tcPr>
            <w:tcW w:w="4860" w:type="dxa"/>
            <w:tcMar>
              <w:top w:w="43" w:type="dxa"/>
              <w:left w:w="115" w:type="dxa"/>
              <w:bottom w:w="43" w:type="dxa"/>
              <w:right w:w="115" w:type="dxa"/>
            </w:tcMar>
          </w:tcPr>
          <w:p w14:paraId="1BCD8167" w14:textId="77777777" w:rsidR="009259F6" w:rsidRPr="00831F65" w:rsidRDefault="009259F6" w:rsidP="002C7643">
            <w:pPr>
              <w:contextualSpacing/>
              <w:rPr>
                <w:rFonts w:eastAsia="Arial Unicode MS" w:cs="Arial"/>
                <w:sz w:val="20"/>
              </w:rPr>
            </w:pPr>
          </w:p>
        </w:tc>
        <w:tc>
          <w:tcPr>
            <w:tcW w:w="3420" w:type="dxa"/>
            <w:tcMar>
              <w:top w:w="43" w:type="dxa"/>
              <w:left w:w="115" w:type="dxa"/>
              <w:bottom w:w="43" w:type="dxa"/>
              <w:right w:w="115" w:type="dxa"/>
            </w:tcMar>
          </w:tcPr>
          <w:p w14:paraId="35EA1F5D" w14:textId="77777777" w:rsidR="009259F6" w:rsidRPr="00831F65" w:rsidRDefault="009259F6" w:rsidP="002C7643">
            <w:pPr>
              <w:contextualSpacing/>
              <w:rPr>
                <w:rFonts w:cs="Arial"/>
                <w:sz w:val="20"/>
              </w:rPr>
            </w:pPr>
          </w:p>
        </w:tc>
      </w:tr>
      <w:tr w:rsidR="009259F6" w:rsidRPr="00831F65" w14:paraId="47F26143" w14:textId="77777777" w:rsidTr="00976500">
        <w:tc>
          <w:tcPr>
            <w:tcW w:w="542" w:type="dxa"/>
          </w:tcPr>
          <w:p w14:paraId="3CDB42C1" w14:textId="77777777" w:rsidR="009259F6" w:rsidRPr="00831F65" w:rsidRDefault="009259F6" w:rsidP="00976500">
            <w:pPr>
              <w:contextualSpacing/>
              <w:jc w:val="center"/>
              <w:rPr>
                <w:rFonts w:cs="Arial"/>
                <w:sz w:val="20"/>
              </w:rPr>
            </w:pPr>
            <w:r>
              <w:rPr>
                <w:rFonts w:cs="Arial"/>
                <w:sz w:val="20"/>
              </w:rPr>
              <w:t>8</w:t>
            </w:r>
          </w:p>
        </w:tc>
        <w:tc>
          <w:tcPr>
            <w:tcW w:w="1170" w:type="dxa"/>
          </w:tcPr>
          <w:p w14:paraId="429CB84F" w14:textId="77777777" w:rsidR="009259F6" w:rsidRPr="00831F65" w:rsidRDefault="009259F6" w:rsidP="002C7643">
            <w:pPr>
              <w:contextualSpacing/>
              <w:rPr>
                <w:rFonts w:cs="Arial"/>
                <w:sz w:val="20"/>
              </w:rPr>
            </w:pPr>
          </w:p>
        </w:tc>
        <w:tc>
          <w:tcPr>
            <w:tcW w:w="720" w:type="dxa"/>
          </w:tcPr>
          <w:p w14:paraId="11579282" w14:textId="77777777" w:rsidR="009259F6" w:rsidRPr="00831F65" w:rsidRDefault="009259F6" w:rsidP="002C7643">
            <w:pPr>
              <w:contextualSpacing/>
              <w:rPr>
                <w:rFonts w:cs="Arial"/>
                <w:sz w:val="20"/>
              </w:rPr>
            </w:pPr>
          </w:p>
        </w:tc>
        <w:tc>
          <w:tcPr>
            <w:tcW w:w="4860" w:type="dxa"/>
            <w:tcMar>
              <w:top w:w="43" w:type="dxa"/>
              <w:left w:w="115" w:type="dxa"/>
              <w:bottom w:w="43" w:type="dxa"/>
              <w:right w:w="115" w:type="dxa"/>
            </w:tcMar>
          </w:tcPr>
          <w:p w14:paraId="679C369A" w14:textId="77777777" w:rsidR="009259F6" w:rsidRPr="00831F65" w:rsidRDefault="009259F6" w:rsidP="002C7643">
            <w:pPr>
              <w:contextualSpacing/>
              <w:rPr>
                <w:rFonts w:eastAsia="Arial Unicode MS" w:cs="Arial"/>
                <w:sz w:val="20"/>
              </w:rPr>
            </w:pPr>
          </w:p>
        </w:tc>
        <w:tc>
          <w:tcPr>
            <w:tcW w:w="3420" w:type="dxa"/>
            <w:tcMar>
              <w:top w:w="43" w:type="dxa"/>
              <w:left w:w="115" w:type="dxa"/>
              <w:bottom w:w="43" w:type="dxa"/>
              <w:right w:w="115" w:type="dxa"/>
            </w:tcMar>
          </w:tcPr>
          <w:p w14:paraId="6EE7A6AE" w14:textId="77777777" w:rsidR="009259F6" w:rsidRPr="00831F65" w:rsidRDefault="009259F6" w:rsidP="002C7643">
            <w:pPr>
              <w:contextualSpacing/>
              <w:rPr>
                <w:rFonts w:cs="Arial"/>
                <w:sz w:val="20"/>
              </w:rPr>
            </w:pPr>
          </w:p>
        </w:tc>
      </w:tr>
      <w:tr w:rsidR="009259F6" w:rsidRPr="00831F65" w14:paraId="07F36E33" w14:textId="77777777" w:rsidTr="00976500">
        <w:tc>
          <w:tcPr>
            <w:tcW w:w="542" w:type="dxa"/>
          </w:tcPr>
          <w:p w14:paraId="388A3184" w14:textId="77777777" w:rsidR="009259F6" w:rsidRPr="00831F65" w:rsidRDefault="009259F6" w:rsidP="00976500">
            <w:pPr>
              <w:contextualSpacing/>
              <w:jc w:val="center"/>
              <w:rPr>
                <w:rFonts w:cs="Arial"/>
                <w:sz w:val="20"/>
              </w:rPr>
            </w:pPr>
            <w:r>
              <w:rPr>
                <w:rFonts w:cs="Arial"/>
                <w:sz w:val="20"/>
              </w:rPr>
              <w:t>9</w:t>
            </w:r>
          </w:p>
        </w:tc>
        <w:tc>
          <w:tcPr>
            <w:tcW w:w="1170" w:type="dxa"/>
          </w:tcPr>
          <w:p w14:paraId="289A5731" w14:textId="77777777" w:rsidR="009259F6" w:rsidRPr="00831F65" w:rsidRDefault="009259F6" w:rsidP="002C7643">
            <w:pPr>
              <w:contextualSpacing/>
              <w:rPr>
                <w:rFonts w:eastAsia="Arial Unicode MS" w:cs="Arial"/>
                <w:sz w:val="20"/>
              </w:rPr>
            </w:pPr>
          </w:p>
        </w:tc>
        <w:tc>
          <w:tcPr>
            <w:tcW w:w="720" w:type="dxa"/>
          </w:tcPr>
          <w:p w14:paraId="440FBC28" w14:textId="77777777" w:rsidR="009259F6" w:rsidRPr="00831F65" w:rsidRDefault="009259F6" w:rsidP="002C7643">
            <w:pPr>
              <w:contextualSpacing/>
              <w:rPr>
                <w:rFonts w:cs="Arial"/>
                <w:sz w:val="20"/>
              </w:rPr>
            </w:pPr>
          </w:p>
        </w:tc>
        <w:tc>
          <w:tcPr>
            <w:tcW w:w="4860" w:type="dxa"/>
            <w:tcMar>
              <w:top w:w="43" w:type="dxa"/>
              <w:left w:w="115" w:type="dxa"/>
              <w:bottom w:w="43" w:type="dxa"/>
              <w:right w:w="115" w:type="dxa"/>
            </w:tcMar>
          </w:tcPr>
          <w:p w14:paraId="2AB21DB4" w14:textId="77777777" w:rsidR="009259F6" w:rsidRPr="00831F65" w:rsidRDefault="009259F6" w:rsidP="002C7643">
            <w:pPr>
              <w:contextualSpacing/>
              <w:rPr>
                <w:rFonts w:eastAsia="Arial Unicode MS" w:cs="Arial"/>
                <w:sz w:val="20"/>
              </w:rPr>
            </w:pPr>
          </w:p>
        </w:tc>
        <w:tc>
          <w:tcPr>
            <w:tcW w:w="3420" w:type="dxa"/>
            <w:tcMar>
              <w:top w:w="43" w:type="dxa"/>
              <w:left w:w="115" w:type="dxa"/>
              <w:bottom w:w="43" w:type="dxa"/>
              <w:right w:w="115" w:type="dxa"/>
            </w:tcMar>
          </w:tcPr>
          <w:p w14:paraId="0E2A4DB2" w14:textId="77777777" w:rsidR="009259F6" w:rsidRPr="00831F65" w:rsidRDefault="009259F6" w:rsidP="002C7643">
            <w:pPr>
              <w:contextualSpacing/>
              <w:rPr>
                <w:rFonts w:eastAsia="Arial Unicode MS" w:cs="Arial"/>
                <w:sz w:val="20"/>
              </w:rPr>
            </w:pPr>
          </w:p>
        </w:tc>
      </w:tr>
      <w:tr w:rsidR="009259F6" w:rsidRPr="00831F65" w14:paraId="32C5520E" w14:textId="77777777" w:rsidTr="00976500">
        <w:tc>
          <w:tcPr>
            <w:tcW w:w="542" w:type="dxa"/>
          </w:tcPr>
          <w:p w14:paraId="20D74769" w14:textId="77777777" w:rsidR="009259F6" w:rsidRPr="00831F65" w:rsidRDefault="009259F6" w:rsidP="00976500">
            <w:pPr>
              <w:contextualSpacing/>
              <w:jc w:val="center"/>
              <w:rPr>
                <w:rFonts w:cs="Arial"/>
                <w:sz w:val="20"/>
              </w:rPr>
            </w:pPr>
            <w:r>
              <w:rPr>
                <w:rFonts w:cs="Arial"/>
                <w:sz w:val="20"/>
              </w:rPr>
              <w:t>10</w:t>
            </w:r>
          </w:p>
        </w:tc>
        <w:tc>
          <w:tcPr>
            <w:tcW w:w="1170" w:type="dxa"/>
          </w:tcPr>
          <w:p w14:paraId="7DDB596A" w14:textId="77777777" w:rsidR="009259F6" w:rsidRPr="00831F65" w:rsidRDefault="009259F6" w:rsidP="002C7643">
            <w:pPr>
              <w:contextualSpacing/>
              <w:rPr>
                <w:rFonts w:eastAsia="Arial Unicode MS" w:cs="Arial"/>
                <w:sz w:val="20"/>
              </w:rPr>
            </w:pPr>
          </w:p>
        </w:tc>
        <w:tc>
          <w:tcPr>
            <w:tcW w:w="720" w:type="dxa"/>
          </w:tcPr>
          <w:p w14:paraId="63022247" w14:textId="77777777" w:rsidR="009259F6" w:rsidRPr="00831F65" w:rsidRDefault="009259F6" w:rsidP="002C7643">
            <w:pPr>
              <w:contextualSpacing/>
              <w:rPr>
                <w:rFonts w:cs="Arial"/>
                <w:sz w:val="20"/>
              </w:rPr>
            </w:pPr>
          </w:p>
        </w:tc>
        <w:tc>
          <w:tcPr>
            <w:tcW w:w="4860" w:type="dxa"/>
            <w:tcMar>
              <w:top w:w="43" w:type="dxa"/>
              <w:left w:w="115" w:type="dxa"/>
              <w:bottom w:w="43" w:type="dxa"/>
              <w:right w:w="115" w:type="dxa"/>
            </w:tcMar>
          </w:tcPr>
          <w:p w14:paraId="63E9F7D9" w14:textId="77777777" w:rsidR="009259F6" w:rsidRPr="00831F65" w:rsidRDefault="009259F6" w:rsidP="002C7643">
            <w:pPr>
              <w:contextualSpacing/>
              <w:rPr>
                <w:rFonts w:eastAsia="Arial Unicode MS" w:cs="Arial"/>
                <w:sz w:val="20"/>
              </w:rPr>
            </w:pPr>
          </w:p>
        </w:tc>
        <w:tc>
          <w:tcPr>
            <w:tcW w:w="3420" w:type="dxa"/>
            <w:tcMar>
              <w:top w:w="43" w:type="dxa"/>
              <w:left w:w="115" w:type="dxa"/>
              <w:bottom w:w="43" w:type="dxa"/>
              <w:right w:w="115" w:type="dxa"/>
            </w:tcMar>
          </w:tcPr>
          <w:p w14:paraId="21D63BEA" w14:textId="77777777" w:rsidR="009259F6" w:rsidRPr="00831F65" w:rsidRDefault="009259F6" w:rsidP="002C7643">
            <w:pPr>
              <w:contextualSpacing/>
              <w:rPr>
                <w:rFonts w:eastAsia="Arial Unicode MS" w:cs="Arial"/>
                <w:sz w:val="20"/>
              </w:rPr>
            </w:pPr>
          </w:p>
        </w:tc>
      </w:tr>
      <w:tr w:rsidR="009259F6" w:rsidRPr="00831F65" w14:paraId="13680E60" w14:textId="77777777" w:rsidTr="00976500">
        <w:tc>
          <w:tcPr>
            <w:tcW w:w="542" w:type="dxa"/>
          </w:tcPr>
          <w:p w14:paraId="56E9B8F4" w14:textId="77777777" w:rsidR="009259F6" w:rsidRPr="00831F65" w:rsidRDefault="009259F6" w:rsidP="00976500">
            <w:pPr>
              <w:contextualSpacing/>
              <w:jc w:val="center"/>
              <w:rPr>
                <w:rFonts w:cs="Arial"/>
                <w:sz w:val="20"/>
              </w:rPr>
            </w:pPr>
            <w:r>
              <w:rPr>
                <w:rFonts w:cs="Arial"/>
                <w:sz w:val="20"/>
              </w:rPr>
              <w:t>11</w:t>
            </w:r>
          </w:p>
        </w:tc>
        <w:tc>
          <w:tcPr>
            <w:tcW w:w="1170" w:type="dxa"/>
          </w:tcPr>
          <w:p w14:paraId="5F69489F" w14:textId="77777777" w:rsidR="009259F6" w:rsidRPr="00831F65" w:rsidRDefault="009259F6" w:rsidP="002C7643">
            <w:pPr>
              <w:contextualSpacing/>
              <w:rPr>
                <w:rFonts w:eastAsia="Arial Unicode MS" w:cs="Arial"/>
                <w:sz w:val="20"/>
              </w:rPr>
            </w:pPr>
          </w:p>
        </w:tc>
        <w:tc>
          <w:tcPr>
            <w:tcW w:w="720" w:type="dxa"/>
          </w:tcPr>
          <w:p w14:paraId="6513EFC0" w14:textId="77777777" w:rsidR="009259F6" w:rsidRPr="00831F65" w:rsidRDefault="009259F6" w:rsidP="002C7643">
            <w:pPr>
              <w:contextualSpacing/>
              <w:rPr>
                <w:rFonts w:cs="Arial"/>
                <w:sz w:val="20"/>
              </w:rPr>
            </w:pPr>
          </w:p>
        </w:tc>
        <w:tc>
          <w:tcPr>
            <w:tcW w:w="4860" w:type="dxa"/>
            <w:tcMar>
              <w:top w:w="43" w:type="dxa"/>
              <w:left w:w="115" w:type="dxa"/>
              <w:bottom w:w="43" w:type="dxa"/>
              <w:right w:w="115" w:type="dxa"/>
            </w:tcMar>
          </w:tcPr>
          <w:p w14:paraId="48E1797B" w14:textId="77777777" w:rsidR="009259F6" w:rsidRPr="00831F65" w:rsidRDefault="009259F6" w:rsidP="002C7643">
            <w:pPr>
              <w:contextualSpacing/>
              <w:rPr>
                <w:rFonts w:eastAsia="Arial Unicode MS" w:cs="Arial"/>
                <w:sz w:val="20"/>
              </w:rPr>
            </w:pPr>
          </w:p>
        </w:tc>
        <w:tc>
          <w:tcPr>
            <w:tcW w:w="3420" w:type="dxa"/>
            <w:tcMar>
              <w:top w:w="43" w:type="dxa"/>
              <w:left w:w="115" w:type="dxa"/>
              <w:bottom w:w="43" w:type="dxa"/>
              <w:right w:w="115" w:type="dxa"/>
            </w:tcMar>
          </w:tcPr>
          <w:p w14:paraId="0CFE50A2" w14:textId="77777777" w:rsidR="009259F6" w:rsidRPr="00831F65" w:rsidRDefault="009259F6" w:rsidP="002C7643">
            <w:pPr>
              <w:ind w:left="335"/>
              <w:contextualSpacing/>
              <w:rPr>
                <w:rFonts w:eastAsia="Arial Unicode MS" w:cs="Arial"/>
                <w:sz w:val="20"/>
              </w:rPr>
            </w:pPr>
          </w:p>
        </w:tc>
      </w:tr>
      <w:tr w:rsidR="009259F6" w:rsidRPr="00831F65" w14:paraId="39F1A692" w14:textId="77777777" w:rsidTr="00976500">
        <w:tc>
          <w:tcPr>
            <w:tcW w:w="542" w:type="dxa"/>
          </w:tcPr>
          <w:p w14:paraId="19FC4335" w14:textId="77777777" w:rsidR="009259F6" w:rsidRPr="00831F65" w:rsidRDefault="009259F6" w:rsidP="00976500">
            <w:pPr>
              <w:contextualSpacing/>
              <w:jc w:val="center"/>
              <w:rPr>
                <w:rFonts w:cs="Arial"/>
                <w:sz w:val="20"/>
              </w:rPr>
            </w:pPr>
            <w:r>
              <w:rPr>
                <w:rFonts w:cs="Arial"/>
                <w:sz w:val="20"/>
              </w:rPr>
              <w:t>12</w:t>
            </w:r>
          </w:p>
        </w:tc>
        <w:tc>
          <w:tcPr>
            <w:tcW w:w="1170" w:type="dxa"/>
          </w:tcPr>
          <w:p w14:paraId="7DAB02EB" w14:textId="77777777" w:rsidR="009259F6" w:rsidRPr="00831F65" w:rsidRDefault="009259F6" w:rsidP="002C7643">
            <w:pPr>
              <w:contextualSpacing/>
              <w:rPr>
                <w:rFonts w:eastAsia="Arial Unicode MS" w:cs="Arial"/>
                <w:sz w:val="20"/>
              </w:rPr>
            </w:pPr>
          </w:p>
        </w:tc>
        <w:tc>
          <w:tcPr>
            <w:tcW w:w="720" w:type="dxa"/>
          </w:tcPr>
          <w:p w14:paraId="249BFA31" w14:textId="77777777" w:rsidR="009259F6" w:rsidRPr="00831F65" w:rsidRDefault="009259F6" w:rsidP="002C7643">
            <w:pPr>
              <w:contextualSpacing/>
              <w:rPr>
                <w:rFonts w:cs="Arial"/>
                <w:sz w:val="20"/>
              </w:rPr>
            </w:pPr>
          </w:p>
        </w:tc>
        <w:tc>
          <w:tcPr>
            <w:tcW w:w="4860" w:type="dxa"/>
            <w:tcMar>
              <w:top w:w="43" w:type="dxa"/>
              <w:left w:w="115" w:type="dxa"/>
              <w:bottom w:w="43" w:type="dxa"/>
              <w:right w:w="115" w:type="dxa"/>
            </w:tcMar>
          </w:tcPr>
          <w:p w14:paraId="0ED9F75B" w14:textId="77777777" w:rsidR="009259F6" w:rsidRPr="00831F65" w:rsidRDefault="009259F6" w:rsidP="002C7643">
            <w:pPr>
              <w:contextualSpacing/>
              <w:rPr>
                <w:rFonts w:eastAsia="Arial Unicode MS" w:cs="Arial"/>
                <w:sz w:val="20"/>
              </w:rPr>
            </w:pPr>
          </w:p>
        </w:tc>
        <w:tc>
          <w:tcPr>
            <w:tcW w:w="3420" w:type="dxa"/>
            <w:tcMar>
              <w:top w:w="43" w:type="dxa"/>
              <w:left w:w="115" w:type="dxa"/>
              <w:bottom w:w="43" w:type="dxa"/>
              <w:right w:w="115" w:type="dxa"/>
            </w:tcMar>
          </w:tcPr>
          <w:p w14:paraId="5AF31175" w14:textId="77777777" w:rsidR="009259F6" w:rsidRPr="00831F65" w:rsidRDefault="009259F6" w:rsidP="002C7643">
            <w:pPr>
              <w:contextualSpacing/>
              <w:rPr>
                <w:rFonts w:eastAsia="Arial Unicode MS" w:cs="Arial"/>
                <w:sz w:val="20"/>
              </w:rPr>
            </w:pPr>
          </w:p>
        </w:tc>
      </w:tr>
      <w:tr w:rsidR="009259F6" w:rsidRPr="00831F65" w14:paraId="3CBD17AB" w14:textId="77777777" w:rsidTr="00976500">
        <w:tc>
          <w:tcPr>
            <w:tcW w:w="542" w:type="dxa"/>
          </w:tcPr>
          <w:p w14:paraId="06900C8E" w14:textId="77777777" w:rsidR="009259F6" w:rsidRPr="00831F65" w:rsidRDefault="009259F6" w:rsidP="00976500">
            <w:pPr>
              <w:contextualSpacing/>
              <w:jc w:val="center"/>
              <w:rPr>
                <w:rFonts w:cs="Arial"/>
                <w:sz w:val="20"/>
              </w:rPr>
            </w:pPr>
            <w:r>
              <w:rPr>
                <w:rFonts w:cs="Arial"/>
                <w:sz w:val="20"/>
              </w:rPr>
              <w:t>13</w:t>
            </w:r>
          </w:p>
        </w:tc>
        <w:tc>
          <w:tcPr>
            <w:tcW w:w="1170" w:type="dxa"/>
          </w:tcPr>
          <w:p w14:paraId="5F3E4B12" w14:textId="77777777" w:rsidR="009259F6" w:rsidRPr="00831F65" w:rsidRDefault="009259F6" w:rsidP="002C7643">
            <w:pPr>
              <w:contextualSpacing/>
              <w:rPr>
                <w:rFonts w:eastAsia="Arial Unicode MS" w:cs="Arial"/>
                <w:sz w:val="20"/>
              </w:rPr>
            </w:pPr>
          </w:p>
        </w:tc>
        <w:tc>
          <w:tcPr>
            <w:tcW w:w="720" w:type="dxa"/>
          </w:tcPr>
          <w:p w14:paraId="73D2E72C" w14:textId="77777777" w:rsidR="009259F6" w:rsidRPr="00831F65" w:rsidRDefault="009259F6" w:rsidP="002C7643">
            <w:pPr>
              <w:contextualSpacing/>
              <w:rPr>
                <w:rFonts w:cs="Arial"/>
                <w:sz w:val="20"/>
              </w:rPr>
            </w:pPr>
          </w:p>
        </w:tc>
        <w:tc>
          <w:tcPr>
            <w:tcW w:w="4860" w:type="dxa"/>
            <w:tcMar>
              <w:top w:w="43" w:type="dxa"/>
              <w:left w:w="115" w:type="dxa"/>
              <w:bottom w:w="43" w:type="dxa"/>
              <w:right w:w="115" w:type="dxa"/>
            </w:tcMar>
          </w:tcPr>
          <w:p w14:paraId="7CFB89ED" w14:textId="77777777" w:rsidR="009259F6" w:rsidRPr="00831F65" w:rsidRDefault="009259F6" w:rsidP="002C7643">
            <w:pPr>
              <w:contextualSpacing/>
              <w:rPr>
                <w:rFonts w:eastAsia="Arial Unicode MS" w:cs="Arial"/>
                <w:sz w:val="20"/>
              </w:rPr>
            </w:pPr>
          </w:p>
        </w:tc>
        <w:tc>
          <w:tcPr>
            <w:tcW w:w="3420" w:type="dxa"/>
            <w:tcMar>
              <w:top w:w="43" w:type="dxa"/>
              <w:left w:w="115" w:type="dxa"/>
              <w:bottom w:w="43" w:type="dxa"/>
              <w:right w:w="115" w:type="dxa"/>
            </w:tcMar>
          </w:tcPr>
          <w:p w14:paraId="58E74E8B" w14:textId="77777777" w:rsidR="009259F6" w:rsidRPr="00831F65" w:rsidRDefault="009259F6" w:rsidP="002C7643">
            <w:pPr>
              <w:contextualSpacing/>
              <w:rPr>
                <w:rFonts w:eastAsia="Arial Unicode MS" w:cs="Arial"/>
                <w:sz w:val="20"/>
              </w:rPr>
            </w:pPr>
          </w:p>
        </w:tc>
      </w:tr>
      <w:tr w:rsidR="009259F6" w:rsidRPr="00831F65" w14:paraId="0165FC80" w14:textId="77777777" w:rsidTr="00976500">
        <w:tc>
          <w:tcPr>
            <w:tcW w:w="542" w:type="dxa"/>
          </w:tcPr>
          <w:p w14:paraId="3D41C78C" w14:textId="77777777" w:rsidR="009259F6" w:rsidRPr="00831F65" w:rsidRDefault="009259F6" w:rsidP="00976500">
            <w:pPr>
              <w:contextualSpacing/>
              <w:jc w:val="center"/>
              <w:rPr>
                <w:rFonts w:cs="Arial"/>
                <w:sz w:val="20"/>
              </w:rPr>
            </w:pPr>
            <w:r>
              <w:rPr>
                <w:rFonts w:cs="Arial"/>
                <w:sz w:val="20"/>
              </w:rPr>
              <w:t>14</w:t>
            </w:r>
          </w:p>
        </w:tc>
        <w:tc>
          <w:tcPr>
            <w:tcW w:w="1170" w:type="dxa"/>
          </w:tcPr>
          <w:p w14:paraId="1F912A31" w14:textId="77777777" w:rsidR="009259F6" w:rsidRPr="00831F65" w:rsidRDefault="009259F6" w:rsidP="002C7643">
            <w:pPr>
              <w:contextualSpacing/>
              <w:rPr>
                <w:rFonts w:cs="Arial"/>
                <w:sz w:val="20"/>
              </w:rPr>
            </w:pPr>
          </w:p>
        </w:tc>
        <w:tc>
          <w:tcPr>
            <w:tcW w:w="720" w:type="dxa"/>
          </w:tcPr>
          <w:p w14:paraId="1F0C5599" w14:textId="77777777" w:rsidR="009259F6" w:rsidRPr="00831F65" w:rsidRDefault="009259F6" w:rsidP="002C7643">
            <w:pPr>
              <w:contextualSpacing/>
              <w:rPr>
                <w:rFonts w:cs="Arial"/>
                <w:sz w:val="20"/>
              </w:rPr>
            </w:pPr>
          </w:p>
        </w:tc>
        <w:tc>
          <w:tcPr>
            <w:tcW w:w="4860" w:type="dxa"/>
            <w:tcMar>
              <w:top w:w="43" w:type="dxa"/>
              <w:left w:w="115" w:type="dxa"/>
              <w:bottom w:w="43" w:type="dxa"/>
              <w:right w:w="115" w:type="dxa"/>
            </w:tcMar>
          </w:tcPr>
          <w:p w14:paraId="373C801C" w14:textId="77777777" w:rsidR="009259F6" w:rsidRPr="00831F65" w:rsidRDefault="009259F6" w:rsidP="002C7643">
            <w:pPr>
              <w:contextualSpacing/>
              <w:rPr>
                <w:rFonts w:cs="Arial"/>
                <w:sz w:val="20"/>
              </w:rPr>
            </w:pPr>
          </w:p>
        </w:tc>
        <w:tc>
          <w:tcPr>
            <w:tcW w:w="3420" w:type="dxa"/>
            <w:tcMar>
              <w:top w:w="43" w:type="dxa"/>
              <w:left w:w="115" w:type="dxa"/>
              <w:bottom w:w="43" w:type="dxa"/>
              <w:right w:w="115" w:type="dxa"/>
            </w:tcMar>
          </w:tcPr>
          <w:p w14:paraId="270B8E7C" w14:textId="77777777" w:rsidR="009259F6" w:rsidRPr="00831F65" w:rsidRDefault="009259F6" w:rsidP="002C7643">
            <w:pPr>
              <w:contextualSpacing/>
              <w:rPr>
                <w:rFonts w:cs="Arial"/>
                <w:sz w:val="20"/>
              </w:rPr>
            </w:pPr>
          </w:p>
        </w:tc>
      </w:tr>
      <w:tr w:rsidR="009259F6" w:rsidRPr="00831F65" w14:paraId="4038D023" w14:textId="77777777" w:rsidTr="00976500">
        <w:tc>
          <w:tcPr>
            <w:tcW w:w="542" w:type="dxa"/>
          </w:tcPr>
          <w:p w14:paraId="4094589F" w14:textId="77777777" w:rsidR="009259F6" w:rsidRPr="00831F65" w:rsidRDefault="009259F6" w:rsidP="00976500">
            <w:pPr>
              <w:contextualSpacing/>
              <w:jc w:val="center"/>
              <w:rPr>
                <w:rFonts w:cs="Arial"/>
                <w:sz w:val="20"/>
              </w:rPr>
            </w:pPr>
            <w:r>
              <w:rPr>
                <w:rFonts w:cs="Arial"/>
                <w:sz w:val="20"/>
              </w:rPr>
              <w:t>15</w:t>
            </w:r>
          </w:p>
        </w:tc>
        <w:tc>
          <w:tcPr>
            <w:tcW w:w="1170" w:type="dxa"/>
          </w:tcPr>
          <w:p w14:paraId="1618A65B" w14:textId="77777777" w:rsidR="009259F6" w:rsidRPr="00831F65" w:rsidRDefault="009259F6" w:rsidP="002C7643">
            <w:pPr>
              <w:contextualSpacing/>
              <w:rPr>
                <w:rFonts w:cs="Arial"/>
                <w:sz w:val="20"/>
              </w:rPr>
            </w:pPr>
          </w:p>
        </w:tc>
        <w:tc>
          <w:tcPr>
            <w:tcW w:w="720" w:type="dxa"/>
          </w:tcPr>
          <w:p w14:paraId="4AB2A0CA" w14:textId="77777777" w:rsidR="009259F6" w:rsidRPr="00831F65" w:rsidRDefault="009259F6" w:rsidP="002C7643">
            <w:pPr>
              <w:contextualSpacing/>
              <w:rPr>
                <w:rFonts w:cs="Arial"/>
                <w:sz w:val="20"/>
              </w:rPr>
            </w:pPr>
          </w:p>
        </w:tc>
        <w:tc>
          <w:tcPr>
            <w:tcW w:w="4860" w:type="dxa"/>
            <w:tcMar>
              <w:top w:w="43" w:type="dxa"/>
              <w:left w:w="115" w:type="dxa"/>
              <w:bottom w:w="43" w:type="dxa"/>
              <w:right w:w="115" w:type="dxa"/>
            </w:tcMar>
          </w:tcPr>
          <w:p w14:paraId="41CF33E8" w14:textId="77777777" w:rsidR="009259F6" w:rsidRPr="00831F65" w:rsidRDefault="009259F6" w:rsidP="002C7643">
            <w:pPr>
              <w:contextualSpacing/>
              <w:rPr>
                <w:rFonts w:cs="Arial"/>
                <w:sz w:val="20"/>
              </w:rPr>
            </w:pPr>
          </w:p>
        </w:tc>
        <w:tc>
          <w:tcPr>
            <w:tcW w:w="3420" w:type="dxa"/>
            <w:tcMar>
              <w:top w:w="43" w:type="dxa"/>
              <w:left w:w="115" w:type="dxa"/>
              <w:bottom w:w="43" w:type="dxa"/>
              <w:right w:w="115" w:type="dxa"/>
            </w:tcMar>
          </w:tcPr>
          <w:p w14:paraId="450732E8" w14:textId="77777777" w:rsidR="009259F6" w:rsidRPr="00831F65" w:rsidRDefault="009259F6" w:rsidP="002C7643">
            <w:pPr>
              <w:contextualSpacing/>
              <w:rPr>
                <w:rFonts w:cs="Arial"/>
                <w:sz w:val="20"/>
                <w:highlight w:val="cyan"/>
              </w:rPr>
            </w:pPr>
          </w:p>
        </w:tc>
      </w:tr>
      <w:tr w:rsidR="009259F6" w:rsidRPr="00831F65" w14:paraId="31BF13CD" w14:textId="77777777" w:rsidTr="00976500">
        <w:tc>
          <w:tcPr>
            <w:tcW w:w="542" w:type="dxa"/>
          </w:tcPr>
          <w:p w14:paraId="5E95B118" w14:textId="77777777" w:rsidR="009259F6" w:rsidRPr="00831F65" w:rsidRDefault="009259F6" w:rsidP="00976500">
            <w:pPr>
              <w:contextualSpacing/>
              <w:jc w:val="center"/>
              <w:rPr>
                <w:rFonts w:cs="Arial"/>
                <w:sz w:val="20"/>
              </w:rPr>
            </w:pPr>
            <w:r>
              <w:rPr>
                <w:rFonts w:cs="Arial"/>
                <w:sz w:val="20"/>
              </w:rPr>
              <w:t>16</w:t>
            </w:r>
          </w:p>
        </w:tc>
        <w:tc>
          <w:tcPr>
            <w:tcW w:w="1170" w:type="dxa"/>
          </w:tcPr>
          <w:p w14:paraId="2FB7D284" w14:textId="77777777" w:rsidR="009259F6" w:rsidRPr="00831F65" w:rsidRDefault="009259F6" w:rsidP="002C7643">
            <w:pPr>
              <w:contextualSpacing/>
              <w:rPr>
                <w:rFonts w:cs="Arial"/>
                <w:sz w:val="20"/>
              </w:rPr>
            </w:pPr>
          </w:p>
        </w:tc>
        <w:tc>
          <w:tcPr>
            <w:tcW w:w="720" w:type="dxa"/>
          </w:tcPr>
          <w:p w14:paraId="3A13E1E7" w14:textId="77777777" w:rsidR="009259F6" w:rsidRPr="00831F65" w:rsidRDefault="009259F6" w:rsidP="002C7643">
            <w:pPr>
              <w:contextualSpacing/>
              <w:rPr>
                <w:rFonts w:cs="Arial"/>
                <w:sz w:val="20"/>
              </w:rPr>
            </w:pPr>
          </w:p>
        </w:tc>
        <w:tc>
          <w:tcPr>
            <w:tcW w:w="4860" w:type="dxa"/>
            <w:tcMar>
              <w:top w:w="43" w:type="dxa"/>
              <w:left w:w="115" w:type="dxa"/>
              <w:bottom w:w="43" w:type="dxa"/>
              <w:right w:w="115" w:type="dxa"/>
            </w:tcMar>
          </w:tcPr>
          <w:p w14:paraId="27CE2D7E" w14:textId="77777777" w:rsidR="009259F6" w:rsidRPr="00831F65" w:rsidRDefault="009259F6" w:rsidP="002C7643">
            <w:pPr>
              <w:contextualSpacing/>
              <w:rPr>
                <w:rFonts w:cs="Arial"/>
                <w:sz w:val="20"/>
              </w:rPr>
            </w:pPr>
          </w:p>
        </w:tc>
        <w:tc>
          <w:tcPr>
            <w:tcW w:w="3420" w:type="dxa"/>
            <w:tcMar>
              <w:top w:w="43" w:type="dxa"/>
              <w:left w:w="115" w:type="dxa"/>
              <w:bottom w:w="43" w:type="dxa"/>
              <w:right w:w="115" w:type="dxa"/>
            </w:tcMar>
          </w:tcPr>
          <w:p w14:paraId="2BB3F4B2" w14:textId="77777777" w:rsidR="009259F6" w:rsidRPr="00831F65" w:rsidRDefault="009259F6" w:rsidP="002C7643">
            <w:pPr>
              <w:contextualSpacing/>
              <w:rPr>
                <w:rFonts w:cs="Arial"/>
                <w:sz w:val="20"/>
              </w:rPr>
            </w:pPr>
          </w:p>
        </w:tc>
      </w:tr>
      <w:tr w:rsidR="009259F6" w:rsidRPr="00831F65" w14:paraId="0D7C901F" w14:textId="77777777" w:rsidTr="00976500">
        <w:tc>
          <w:tcPr>
            <w:tcW w:w="542" w:type="dxa"/>
          </w:tcPr>
          <w:p w14:paraId="0A676FB9" w14:textId="77777777" w:rsidR="009259F6" w:rsidRPr="00831F65" w:rsidRDefault="009259F6" w:rsidP="00976500">
            <w:pPr>
              <w:contextualSpacing/>
              <w:jc w:val="center"/>
              <w:rPr>
                <w:rFonts w:cs="Arial"/>
                <w:sz w:val="20"/>
              </w:rPr>
            </w:pPr>
            <w:r>
              <w:rPr>
                <w:rFonts w:cs="Arial"/>
                <w:sz w:val="20"/>
              </w:rPr>
              <w:t>17</w:t>
            </w:r>
          </w:p>
        </w:tc>
        <w:tc>
          <w:tcPr>
            <w:tcW w:w="1170" w:type="dxa"/>
          </w:tcPr>
          <w:p w14:paraId="3D35D44A" w14:textId="77777777" w:rsidR="009259F6" w:rsidRPr="00831F65" w:rsidRDefault="009259F6" w:rsidP="002C7643">
            <w:pPr>
              <w:contextualSpacing/>
              <w:rPr>
                <w:rFonts w:cs="Arial"/>
                <w:sz w:val="20"/>
              </w:rPr>
            </w:pPr>
          </w:p>
        </w:tc>
        <w:tc>
          <w:tcPr>
            <w:tcW w:w="720" w:type="dxa"/>
          </w:tcPr>
          <w:p w14:paraId="551DEAAE" w14:textId="77777777" w:rsidR="009259F6" w:rsidRPr="00831F65" w:rsidRDefault="009259F6" w:rsidP="002C7643">
            <w:pPr>
              <w:contextualSpacing/>
              <w:rPr>
                <w:rFonts w:cs="Arial"/>
                <w:sz w:val="20"/>
              </w:rPr>
            </w:pPr>
          </w:p>
        </w:tc>
        <w:tc>
          <w:tcPr>
            <w:tcW w:w="4860" w:type="dxa"/>
            <w:tcMar>
              <w:top w:w="43" w:type="dxa"/>
              <w:left w:w="115" w:type="dxa"/>
              <w:bottom w:w="43" w:type="dxa"/>
              <w:right w:w="115" w:type="dxa"/>
            </w:tcMar>
          </w:tcPr>
          <w:p w14:paraId="77C10035" w14:textId="77777777" w:rsidR="009259F6" w:rsidRPr="00831F65" w:rsidRDefault="009259F6" w:rsidP="002C7643">
            <w:pPr>
              <w:contextualSpacing/>
              <w:rPr>
                <w:rFonts w:cs="Arial"/>
                <w:sz w:val="20"/>
              </w:rPr>
            </w:pPr>
          </w:p>
        </w:tc>
        <w:tc>
          <w:tcPr>
            <w:tcW w:w="3420" w:type="dxa"/>
            <w:tcMar>
              <w:top w:w="43" w:type="dxa"/>
              <w:left w:w="115" w:type="dxa"/>
              <w:bottom w:w="43" w:type="dxa"/>
              <w:right w:w="115" w:type="dxa"/>
            </w:tcMar>
          </w:tcPr>
          <w:p w14:paraId="4231D9C7" w14:textId="77777777" w:rsidR="009259F6" w:rsidRPr="00831F65" w:rsidRDefault="009259F6" w:rsidP="002C7643">
            <w:pPr>
              <w:contextualSpacing/>
              <w:rPr>
                <w:rFonts w:cs="Arial"/>
                <w:sz w:val="20"/>
              </w:rPr>
            </w:pPr>
          </w:p>
        </w:tc>
      </w:tr>
      <w:tr w:rsidR="009259F6" w:rsidRPr="00831F65" w14:paraId="01CE5FBF" w14:textId="77777777" w:rsidTr="00976500">
        <w:tc>
          <w:tcPr>
            <w:tcW w:w="542" w:type="dxa"/>
          </w:tcPr>
          <w:p w14:paraId="7EB1AD28" w14:textId="77777777" w:rsidR="009259F6" w:rsidRPr="00831F65" w:rsidRDefault="009259F6" w:rsidP="00976500">
            <w:pPr>
              <w:contextualSpacing/>
              <w:jc w:val="center"/>
              <w:rPr>
                <w:rFonts w:cs="Arial"/>
                <w:sz w:val="20"/>
              </w:rPr>
            </w:pPr>
            <w:r>
              <w:rPr>
                <w:rFonts w:cs="Arial"/>
                <w:sz w:val="20"/>
              </w:rPr>
              <w:t>18</w:t>
            </w:r>
          </w:p>
        </w:tc>
        <w:tc>
          <w:tcPr>
            <w:tcW w:w="1170" w:type="dxa"/>
          </w:tcPr>
          <w:p w14:paraId="014CC4B5" w14:textId="77777777" w:rsidR="009259F6" w:rsidRPr="00831F65" w:rsidRDefault="009259F6" w:rsidP="002C7643">
            <w:pPr>
              <w:contextualSpacing/>
              <w:rPr>
                <w:rFonts w:eastAsia="Arial Unicode MS" w:cs="Arial"/>
                <w:sz w:val="20"/>
              </w:rPr>
            </w:pPr>
          </w:p>
        </w:tc>
        <w:tc>
          <w:tcPr>
            <w:tcW w:w="720" w:type="dxa"/>
          </w:tcPr>
          <w:p w14:paraId="7922F9E4" w14:textId="77777777" w:rsidR="009259F6" w:rsidRPr="00831F65" w:rsidRDefault="009259F6" w:rsidP="002C7643">
            <w:pPr>
              <w:contextualSpacing/>
              <w:rPr>
                <w:rFonts w:cs="Arial"/>
                <w:sz w:val="20"/>
              </w:rPr>
            </w:pPr>
          </w:p>
        </w:tc>
        <w:tc>
          <w:tcPr>
            <w:tcW w:w="4860" w:type="dxa"/>
            <w:tcMar>
              <w:top w:w="43" w:type="dxa"/>
              <w:left w:w="115" w:type="dxa"/>
              <w:bottom w:w="43" w:type="dxa"/>
              <w:right w:w="115" w:type="dxa"/>
            </w:tcMar>
          </w:tcPr>
          <w:p w14:paraId="4DD98B20" w14:textId="77777777" w:rsidR="009259F6" w:rsidRPr="00831F65" w:rsidRDefault="009259F6" w:rsidP="002C7643">
            <w:pPr>
              <w:contextualSpacing/>
              <w:rPr>
                <w:rFonts w:eastAsia="Arial Unicode MS" w:cs="Arial"/>
                <w:sz w:val="20"/>
              </w:rPr>
            </w:pPr>
          </w:p>
        </w:tc>
        <w:tc>
          <w:tcPr>
            <w:tcW w:w="3420" w:type="dxa"/>
            <w:tcMar>
              <w:top w:w="43" w:type="dxa"/>
              <w:left w:w="115" w:type="dxa"/>
              <w:bottom w:w="43" w:type="dxa"/>
              <w:right w:w="115" w:type="dxa"/>
            </w:tcMar>
          </w:tcPr>
          <w:p w14:paraId="2DBB3433" w14:textId="77777777" w:rsidR="009259F6" w:rsidRPr="00831F65" w:rsidRDefault="009259F6" w:rsidP="002C7643">
            <w:pPr>
              <w:contextualSpacing/>
              <w:rPr>
                <w:rFonts w:eastAsia="Arial Unicode MS" w:cs="Arial"/>
                <w:sz w:val="20"/>
                <w:highlight w:val="cyan"/>
              </w:rPr>
            </w:pPr>
          </w:p>
        </w:tc>
      </w:tr>
      <w:tr w:rsidR="009259F6" w:rsidRPr="00831F65" w14:paraId="2C6AEC45" w14:textId="77777777" w:rsidTr="00976500">
        <w:tc>
          <w:tcPr>
            <w:tcW w:w="542" w:type="dxa"/>
          </w:tcPr>
          <w:p w14:paraId="653BE658" w14:textId="77777777" w:rsidR="009259F6" w:rsidRPr="00831F65" w:rsidRDefault="009259F6" w:rsidP="00976500">
            <w:pPr>
              <w:contextualSpacing/>
              <w:jc w:val="center"/>
              <w:rPr>
                <w:rFonts w:cs="Arial"/>
                <w:sz w:val="20"/>
              </w:rPr>
            </w:pPr>
            <w:r>
              <w:rPr>
                <w:rFonts w:cs="Arial"/>
                <w:sz w:val="20"/>
              </w:rPr>
              <w:t>19</w:t>
            </w:r>
          </w:p>
        </w:tc>
        <w:tc>
          <w:tcPr>
            <w:tcW w:w="1170" w:type="dxa"/>
          </w:tcPr>
          <w:p w14:paraId="4600B482" w14:textId="77777777" w:rsidR="009259F6" w:rsidRPr="00831F65" w:rsidRDefault="009259F6" w:rsidP="002C7643">
            <w:pPr>
              <w:contextualSpacing/>
              <w:rPr>
                <w:rFonts w:cs="Arial"/>
                <w:sz w:val="20"/>
              </w:rPr>
            </w:pPr>
          </w:p>
        </w:tc>
        <w:tc>
          <w:tcPr>
            <w:tcW w:w="720" w:type="dxa"/>
          </w:tcPr>
          <w:p w14:paraId="2419B758" w14:textId="77777777" w:rsidR="009259F6" w:rsidRPr="00831F65" w:rsidRDefault="009259F6" w:rsidP="002C7643">
            <w:pPr>
              <w:contextualSpacing/>
              <w:rPr>
                <w:rFonts w:cs="Arial"/>
                <w:sz w:val="20"/>
              </w:rPr>
            </w:pPr>
          </w:p>
        </w:tc>
        <w:tc>
          <w:tcPr>
            <w:tcW w:w="4860" w:type="dxa"/>
            <w:tcMar>
              <w:top w:w="43" w:type="dxa"/>
              <w:left w:w="115" w:type="dxa"/>
              <w:bottom w:w="43" w:type="dxa"/>
              <w:right w:w="115" w:type="dxa"/>
            </w:tcMar>
          </w:tcPr>
          <w:p w14:paraId="099B75D3" w14:textId="77777777" w:rsidR="009259F6" w:rsidRPr="00831F65" w:rsidRDefault="009259F6" w:rsidP="002C7643">
            <w:pPr>
              <w:contextualSpacing/>
              <w:rPr>
                <w:rFonts w:eastAsia="Arial Unicode MS" w:cs="Arial"/>
                <w:sz w:val="20"/>
              </w:rPr>
            </w:pPr>
          </w:p>
        </w:tc>
        <w:tc>
          <w:tcPr>
            <w:tcW w:w="3420" w:type="dxa"/>
            <w:tcMar>
              <w:top w:w="43" w:type="dxa"/>
              <w:left w:w="115" w:type="dxa"/>
              <w:bottom w:w="43" w:type="dxa"/>
              <w:right w:w="115" w:type="dxa"/>
            </w:tcMar>
          </w:tcPr>
          <w:p w14:paraId="2C03E4BD" w14:textId="77777777" w:rsidR="009259F6" w:rsidRPr="00831F65" w:rsidRDefault="009259F6" w:rsidP="002C7643">
            <w:pPr>
              <w:contextualSpacing/>
              <w:rPr>
                <w:rFonts w:cs="Arial"/>
                <w:sz w:val="20"/>
              </w:rPr>
            </w:pPr>
          </w:p>
        </w:tc>
      </w:tr>
      <w:tr w:rsidR="009259F6" w:rsidRPr="00831F65" w14:paraId="654B6B0A" w14:textId="77777777" w:rsidTr="00976500">
        <w:tc>
          <w:tcPr>
            <w:tcW w:w="542" w:type="dxa"/>
          </w:tcPr>
          <w:p w14:paraId="1CF6E318" w14:textId="77777777" w:rsidR="009259F6" w:rsidRPr="00831F65" w:rsidRDefault="009259F6" w:rsidP="00976500">
            <w:pPr>
              <w:contextualSpacing/>
              <w:jc w:val="center"/>
              <w:rPr>
                <w:rFonts w:cs="Arial"/>
                <w:sz w:val="20"/>
              </w:rPr>
            </w:pPr>
            <w:r>
              <w:rPr>
                <w:rFonts w:cs="Arial"/>
                <w:sz w:val="20"/>
              </w:rPr>
              <w:t>20</w:t>
            </w:r>
          </w:p>
        </w:tc>
        <w:tc>
          <w:tcPr>
            <w:tcW w:w="1170" w:type="dxa"/>
          </w:tcPr>
          <w:p w14:paraId="4672C2E5" w14:textId="77777777" w:rsidR="009259F6" w:rsidRPr="00831F65" w:rsidRDefault="009259F6" w:rsidP="002C7643">
            <w:pPr>
              <w:contextualSpacing/>
              <w:rPr>
                <w:rFonts w:cs="Arial"/>
                <w:sz w:val="20"/>
              </w:rPr>
            </w:pPr>
          </w:p>
        </w:tc>
        <w:tc>
          <w:tcPr>
            <w:tcW w:w="720" w:type="dxa"/>
          </w:tcPr>
          <w:p w14:paraId="3BABA75B" w14:textId="77777777" w:rsidR="009259F6" w:rsidRPr="00831F65" w:rsidRDefault="009259F6" w:rsidP="002C7643">
            <w:pPr>
              <w:contextualSpacing/>
              <w:rPr>
                <w:rFonts w:cs="Arial"/>
                <w:sz w:val="20"/>
              </w:rPr>
            </w:pPr>
          </w:p>
        </w:tc>
        <w:tc>
          <w:tcPr>
            <w:tcW w:w="4860" w:type="dxa"/>
            <w:tcMar>
              <w:top w:w="43" w:type="dxa"/>
              <w:left w:w="115" w:type="dxa"/>
              <w:bottom w:w="43" w:type="dxa"/>
              <w:right w:w="115" w:type="dxa"/>
            </w:tcMar>
          </w:tcPr>
          <w:p w14:paraId="43401192" w14:textId="77777777" w:rsidR="009259F6" w:rsidRPr="00831F65" w:rsidRDefault="009259F6" w:rsidP="002C7643">
            <w:pPr>
              <w:contextualSpacing/>
              <w:rPr>
                <w:rFonts w:eastAsia="Arial Unicode MS" w:cs="Arial"/>
                <w:sz w:val="20"/>
              </w:rPr>
            </w:pPr>
          </w:p>
        </w:tc>
        <w:tc>
          <w:tcPr>
            <w:tcW w:w="3420" w:type="dxa"/>
            <w:tcMar>
              <w:top w:w="43" w:type="dxa"/>
              <w:left w:w="115" w:type="dxa"/>
              <w:bottom w:w="43" w:type="dxa"/>
              <w:right w:w="115" w:type="dxa"/>
            </w:tcMar>
          </w:tcPr>
          <w:p w14:paraId="0BEEDAC5" w14:textId="77777777" w:rsidR="009259F6" w:rsidRPr="00831F65" w:rsidRDefault="009259F6" w:rsidP="002C7643">
            <w:pPr>
              <w:contextualSpacing/>
              <w:rPr>
                <w:rFonts w:cs="Arial"/>
                <w:sz w:val="20"/>
                <w:highlight w:val="cyan"/>
              </w:rPr>
            </w:pPr>
          </w:p>
        </w:tc>
      </w:tr>
      <w:tr w:rsidR="009259F6" w:rsidRPr="00831F65" w14:paraId="37E34C31" w14:textId="77777777" w:rsidTr="00976500">
        <w:tc>
          <w:tcPr>
            <w:tcW w:w="542" w:type="dxa"/>
          </w:tcPr>
          <w:p w14:paraId="195656AC" w14:textId="77777777" w:rsidR="009259F6" w:rsidRPr="00831F65" w:rsidRDefault="009259F6" w:rsidP="00976500">
            <w:pPr>
              <w:contextualSpacing/>
              <w:jc w:val="center"/>
              <w:rPr>
                <w:rFonts w:cs="Arial"/>
                <w:sz w:val="20"/>
              </w:rPr>
            </w:pPr>
            <w:r>
              <w:rPr>
                <w:rFonts w:cs="Arial"/>
                <w:sz w:val="20"/>
              </w:rPr>
              <w:t>21</w:t>
            </w:r>
          </w:p>
        </w:tc>
        <w:tc>
          <w:tcPr>
            <w:tcW w:w="1170" w:type="dxa"/>
          </w:tcPr>
          <w:p w14:paraId="2047B783" w14:textId="77777777" w:rsidR="009259F6" w:rsidRPr="00831F65" w:rsidRDefault="009259F6" w:rsidP="002C7643">
            <w:pPr>
              <w:contextualSpacing/>
              <w:rPr>
                <w:rFonts w:cs="Arial"/>
                <w:sz w:val="20"/>
              </w:rPr>
            </w:pPr>
          </w:p>
        </w:tc>
        <w:tc>
          <w:tcPr>
            <w:tcW w:w="720" w:type="dxa"/>
          </w:tcPr>
          <w:p w14:paraId="7A57EAD0" w14:textId="77777777" w:rsidR="009259F6" w:rsidRPr="00831F65" w:rsidRDefault="009259F6" w:rsidP="002C7643">
            <w:pPr>
              <w:contextualSpacing/>
              <w:rPr>
                <w:rFonts w:cs="Arial"/>
                <w:sz w:val="20"/>
              </w:rPr>
            </w:pPr>
          </w:p>
        </w:tc>
        <w:tc>
          <w:tcPr>
            <w:tcW w:w="4860" w:type="dxa"/>
            <w:tcMar>
              <w:top w:w="43" w:type="dxa"/>
              <w:left w:w="115" w:type="dxa"/>
              <w:bottom w:w="43" w:type="dxa"/>
              <w:right w:w="115" w:type="dxa"/>
            </w:tcMar>
          </w:tcPr>
          <w:p w14:paraId="19D81FAE" w14:textId="77777777" w:rsidR="009259F6" w:rsidRPr="00831F65" w:rsidRDefault="009259F6" w:rsidP="002C7643">
            <w:pPr>
              <w:contextualSpacing/>
              <w:rPr>
                <w:rFonts w:eastAsia="Arial Unicode MS" w:cs="Arial"/>
                <w:sz w:val="20"/>
              </w:rPr>
            </w:pPr>
          </w:p>
        </w:tc>
        <w:tc>
          <w:tcPr>
            <w:tcW w:w="3420" w:type="dxa"/>
            <w:tcMar>
              <w:top w:w="43" w:type="dxa"/>
              <w:left w:w="115" w:type="dxa"/>
              <w:bottom w:w="43" w:type="dxa"/>
              <w:right w:w="115" w:type="dxa"/>
            </w:tcMar>
          </w:tcPr>
          <w:p w14:paraId="13442244" w14:textId="77777777" w:rsidR="009259F6" w:rsidRPr="00831F65" w:rsidRDefault="009259F6" w:rsidP="002C7643">
            <w:pPr>
              <w:contextualSpacing/>
              <w:rPr>
                <w:rFonts w:cs="Arial"/>
                <w:sz w:val="20"/>
              </w:rPr>
            </w:pPr>
          </w:p>
        </w:tc>
      </w:tr>
      <w:tr w:rsidR="009259F6" w:rsidRPr="00831F65" w14:paraId="2197D7A0" w14:textId="77777777" w:rsidTr="00976500">
        <w:tc>
          <w:tcPr>
            <w:tcW w:w="542" w:type="dxa"/>
          </w:tcPr>
          <w:p w14:paraId="25EEC433" w14:textId="77777777" w:rsidR="009259F6" w:rsidRPr="00831F65" w:rsidRDefault="009259F6" w:rsidP="00976500">
            <w:pPr>
              <w:contextualSpacing/>
              <w:jc w:val="center"/>
              <w:rPr>
                <w:rFonts w:cs="Arial"/>
                <w:sz w:val="20"/>
              </w:rPr>
            </w:pPr>
            <w:r>
              <w:rPr>
                <w:rFonts w:cs="Arial"/>
                <w:sz w:val="20"/>
              </w:rPr>
              <w:t>22</w:t>
            </w:r>
          </w:p>
        </w:tc>
        <w:tc>
          <w:tcPr>
            <w:tcW w:w="1170" w:type="dxa"/>
          </w:tcPr>
          <w:p w14:paraId="53E9AE8B" w14:textId="77777777" w:rsidR="009259F6" w:rsidRPr="00831F65" w:rsidRDefault="009259F6" w:rsidP="002C7643">
            <w:pPr>
              <w:contextualSpacing/>
              <w:rPr>
                <w:rFonts w:cs="Arial"/>
                <w:sz w:val="20"/>
              </w:rPr>
            </w:pPr>
          </w:p>
        </w:tc>
        <w:tc>
          <w:tcPr>
            <w:tcW w:w="720" w:type="dxa"/>
          </w:tcPr>
          <w:p w14:paraId="46D9F86A" w14:textId="77777777" w:rsidR="009259F6" w:rsidRPr="00831F65" w:rsidRDefault="009259F6" w:rsidP="002C7643">
            <w:pPr>
              <w:contextualSpacing/>
              <w:rPr>
                <w:rFonts w:cs="Arial"/>
                <w:sz w:val="20"/>
              </w:rPr>
            </w:pPr>
          </w:p>
        </w:tc>
        <w:tc>
          <w:tcPr>
            <w:tcW w:w="4860" w:type="dxa"/>
            <w:tcMar>
              <w:top w:w="43" w:type="dxa"/>
              <w:left w:w="115" w:type="dxa"/>
              <w:bottom w:w="43" w:type="dxa"/>
              <w:right w:w="115" w:type="dxa"/>
            </w:tcMar>
          </w:tcPr>
          <w:p w14:paraId="331BE641" w14:textId="77777777" w:rsidR="009259F6" w:rsidRPr="00831F65" w:rsidRDefault="009259F6" w:rsidP="002C7643">
            <w:pPr>
              <w:contextualSpacing/>
              <w:rPr>
                <w:rFonts w:eastAsia="Arial Unicode MS" w:cs="Arial"/>
                <w:sz w:val="20"/>
              </w:rPr>
            </w:pPr>
          </w:p>
        </w:tc>
        <w:tc>
          <w:tcPr>
            <w:tcW w:w="3420" w:type="dxa"/>
            <w:tcMar>
              <w:top w:w="43" w:type="dxa"/>
              <w:left w:w="115" w:type="dxa"/>
              <w:bottom w:w="43" w:type="dxa"/>
              <w:right w:w="115" w:type="dxa"/>
            </w:tcMar>
          </w:tcPr>
          <w:p w14:paraId="505D2D18" w14:textId="77777777" w:rsidR="009259F6" w:rsidRPr="00831F65" w:rsidRDefault="009259F6" w:rsidP="002C7643">
            <w:pPr>
              <w:contextualSpacing/>
              <w:rPr>
                <w:rFonts w:eastAsia="Arial Unicode MS" w:cs="Arial"/>
                <w:sz w:val="20"/>
              </w:rPr>
            </w:pPr>
          </w:p>
        </w:tc>
      </w:tr>
      <w:tr w:rsidR="009259F6" w:rsidRPr="00831F65" w14:paraId="6661F227" w14:textId="77777777" w:rsidTr="00976500">
        <w:tc>
          <w:tcPr>
            <w:tcW w:w="542" w:type="dxa"/>
          </w:tcPr>
          <w:p w14:paraId="5937C9CC" w14:textId="77777777" w:rsidR="009259F6" w:rsidRPr="00831F65" w:rsidRDefault="009259F6" w:rsidP="00976500">
            <w:pPr>
              <w:contextualSpacing/>
              <w:jc w:val="center"/>
              <w:rPr>
                <w:rFonts w:cs="Arial"/>
                <w:sz w:val="20"/>
              </w:rPr>
            </w:pPr>
            <w:r>
              <w:rPr>
                <w:rFonts w:cs="Arial"/>
                <w:sz w:val="20"/>
              </w:rPr>
              <w:t>23</w:t>
            </w:r>
          </w:p>
        </w:tc>
        <w:tc>
          <w:tcPr>
            <w:tcW w:w="1170" w:type="dxa"/>
          </w:tcPr>
          <w:p w14:paraId="4C458B8C" w14:textId="77777777" w:rsidR="009259F6" w:rsidRPr="00831F65" w:rsidRDefault="009259F6" w:rsidP="002C7643">
            <w:pPr>
              <w:contextualSpacing/>
              <w:rPr>
                <w:rFonts w:cs="Arial"/>
                <w:sz w:val="20"/>
              </w:rPr>
            </w:pPr>
          </w:p>
        </w:tc>
        <w:tc>
          <w:tcPr>
            <w:tcW w:w="720" w:type="dxa"/>
          </w:tcPr>
          <w:p w14:paraId="23075E0A" w14:textId="77777777" w:rsidR="009259F6" w:rsidRPr="00831F65" w:rsidRDefault="009259F6" w:rsidP="002C7643">
            <w:pPr>
              <w:contextualSpacing/>
              <w:rPr>
                <w:rFonts w:cs="Arial"/>
                <w:sz w:val="20"/>
              </w:rPr>
            </w:pPr>
          </w:p>
        </w:tc>
        <w:tc>
          <w:tcPr>
            <w:tcW w:w="4860" w:type="dxa"/>
            <w:tcMar>
              <w:top w:w="43" w:type="dxa"/>
              <w:left w:w="115" w:type="dxa"/>
              <w:bottom w:w="43" w:type="dxa"/>
              <w:right w:w="115" w:type="dxa"/>
            </w:tcMar>
          </w:tcPr>
          <w:p w14:paraId="6CAF79DA" w14:textId="77777777" w:rsidR="009259F6" w:rsidRPr="00831F65" w:rsidRDefault="009259F6" w:rsidP="002C7643">
            <w:pPr>
              <w:contextualSpacing/>
              <w:rPr>
                <w:rFonts w:eastAsia="Arial Unicode MS" w:cs="Arial"/>
                <w:sz w:val="20"/>
              </w:rPr>
            </w:pPr>
          </w:p>
        </w:tc>
        <w:tc>
          <w:tcPr>
            <w:tcW w:w="3420" w:type="dxa"/>
            <w:tcMar>
              <w:top w:w="43" w:type="dxa"/>
              <w:left w:w="115" w:type="dxa"/>
              <w:bottom w:w="43" w:type="dxa"/>
              <w:right w:w="115" w:type="dxa"/>
            </w:tcMar>
          </w:tcPr>
          <w:p w14:paraId="22E28055" w14:textId="77777777" w:rsidR="009259F6" w:rsidRPr="00831F65" w:rsidRDefault="009259F6" w:rsidP="002C7643">
            <w:pPr>
              <w:contextualSpacing/>
              <w:rPr>
                <w:rFonts w:cs="Arial"/>
                <w:sz w:val="20"/>
                <w:highlight w:val="cyan"/>
              </w:rPr>
            </w:pPr>
          </w:p>
        </w:tc>
      </w:tr>
      <w:tr w:rsidR="009259F6" w:rsidRPr="00831F65" w14:paraId="2BE674FE" w14:textId="77777777" w:rsidTr="00976500">
        <w:tc>
          <w:tcPr>
            <w:tcW w:w="542" w:type="dxa"/>
          </w:tcPr>
          <w:p w14:paraId="5693A1A0" w14:textId="77777777" w:rsidR="009259F6" w:rsidRPr="00831F65" w:rsidRDefault="009259F6" w:rsidP="00976500">
            <w:pPr>
              <w:contextualSpacing/>
              <w:jc w:val="center"/>
              <w:rPr>
                <w:rFonts w:cs="Arial"/>
                <w:sz w:val="20"/>
              </w:rPr>
            </w:pPr>
          </w:p>
        </w:tc>
        <w:tc>
          <w:tcPr>
            <w:tcW w:w="1170" w:type="dxa"/>
          </w:tcPr>
          <w:p w14:paraId="78AC60B2" w14:textId="77777777" w:rsidR="009259F6" w:rsidRPr="00831F65" w:rsidRDefault="009259F6" w:rsidP="002C7643">
            <w:pPr>
              <w:contextualSpacing/>
              <w:rPr>
                <w:rFonts w:cs="Arial"/>
                <w:sz w:val="20"/>
              </w:rPr>
            </w:pPr>
          </w:p>
        </w:tc>
        <w:tc>
          <w:tcPr>
            <w:tcW w:w="720" w:type="dxa"/>
          </w:tcPr>
          <w:p w14:paraId="08068A3F" w14:textId="77777777" w:rsidR="009259F6" w:rsidRPr="00831F65" w:rsidRDefault="009259F6" w:rsidP="002C7643">
            <w:pPr>
              <w:contextualSpacing/>
              <w:rPr>
                <w:rFonts w:cs="Arial"/>
                <w:sz w:val="20"/>
              </w:rPr>
            </w:pPr>
          </w:p>
        </w:tc>
        <w:tc>
          <w:tcPr>
            <w:tcW w:w="4860" w:type="dxa"/>
            <w:tcMar>
              <w:top w:w="43" w:type="dxa"/>
              <w:left w:w="115" w:type="dxa"/>
              <w:bottom w:w="43" w:type="dxa"/>
              <w:right w:w="115" w:type="dxa"/>
            </w:tcMar>
          </w:tcPr>
          <w:p w14:paraId="7DF256D8" w14:textId="77777777" w:rsidR="009259F6" w:rsidRPr="00831F65" w:rsidRDefault="009259F6" w:rsidP="002C7643">
            <w:pPr>
              <w:contextualSpacing/>
              <w:rPr>
                <w:rFonts w:eastAsia="Arial Unicode MS" w:cs="Arial"/>
                <w:sz w:val="20"/>
              </w:rPr>
            </w:pPr>
          </w:p>
        </w:tc>
        <w:tc>
          <w:tcPr>
            <w:tcW w:w="3420" w:type="dxa"/>
            <w:tcMar>
              <w:top w:w="43" w:type="dxa"/>
              <w:left w:w="115" w:type="dxa"/>
              <w:bottom w:w="43" w:type="dxa"/>
              <w:right w:w="115" w:type="dxa"/>
            </w:tcMar>
          </w:tcPr>
          <w:p w14:paraId="54FA9301" w14:textId="77777777" w:rsidR="009259F6" w:rsidRPr="00831F65" w:rsidRDefault="009259F6" w:rsidP="002C7643">
            <w:pPr>
              <w:contextualSpacing/>
              <w:rPr>
                <w:rFonts w:cs="Arial"/>
                <w:sz w:val="20"/>
                <w:highlight w:val="cyan"/>
              </w:rPr>
            </w:pPr>
          </w:p>
        </w:tc>
      </w:tr>
    </w:tbl>
    <w:p w14:paraId="4322EFC4" w14:textId="77777777" w:rsidR="009259F6" w:rsidRDefault="009259F6" w:rsidP="009259F6">
      <w:pPr>
        <w:pStyle w:val="BodyText"/>
        <w:widowControl/>
        <w:contextualSpacing/>
        <w:rPr>
          <w:b/>
          <w:bCs/>
          <w:szCs w:val="24"/>
        </w:rPr>
      </w:pPr>
    </w:p>
    <w:p w14:paraId="2E551496" w14:textId="77777777" w:rsidR="009259F6" w:rsidRDefault="009259F6" w:rsidP="009259F6">
      <w:pPr>
        <w:contextualSpacing/>
      </w:pPr>
    </w:p>
    <w:p w14:paraId="0AAF3C44" w14:textId="73711E76" w:rsidR="009259F6" w:rsidRDefault="009259F6">
      <w:r>
        <w:br w:type="page"/>
      </w:r>
    </w:p>
    <w:p w14:paraId="0285E219" w14:textId="13D58F25" w:rsidR="004A731A" w:rsidRPr="00B84CEF" w:rsidRDefault="004A731A" w:rsidP="004A731A">
      <w:pPr>
        <w:jc w:val="center"/>
        <w:rPr>
          <w:spacing w:val="20"/>
          <w:sz w:val="48"/>
          <w:szCs w:val="48"/>
        </w:rPr>
      </w:pPr>
      <w:r>
        <w:rPr>
          <w:spacing w:val="20"/>
          <w:sz w:val="48"/>
          <w:szCs w:val="48"/>
        </w:rPr>
        <w:lastRenderedPageBreak/>
        <w:t>EXHIBIT 11</w:t>
      </w:r>
    </w:p>
    <w:p w14:paraId="361B4F68" w14:textId="6653AA6D" w:rsidR="004A731A" w:rsidRDefault="00032FD9" w:rsidP="00032FD9">
      <w:pPr>
        <w:shd w:val="clear" w:color="auto" w:fill="F2F2F2" w:themeFill="background1" w:themeFillShade="F2"/>
        <w:jc w:val="center"/>
      </w:pPr>
      <w:r>
        <w:rPr>
          <w:b/>
          <w:bCs/>
          <w:spacing w:val="20"/>
          <w:sz w:val="36"/>
          <w:szCs w:val="36"/>
        </w:rPr>
        <w:t xml:space="preserve">Contract Modifications and Exceptions </w:t>
      </w:r>
    </w:p>
    <w:p w14:paraId="3DD59734" w14:textId="77777777" w:rsidR="00EA4AD7" w:rsidRPr="00637E7B" w:rsidRDefault="00EA4AD7" w:rsidP="00EA4AD7">
      <w:pPr>
        <w:jc w:val="both"/>
        <w:rPr>
          <w:b/>
          <w:bCs/>
        </w:rPr>
      </w:pPr>
      <w:r>
        <w:rPr>
          <w:b/>
          <w:bCs/>
        </w:rPr>
        <w:t>Instructions</w:t>
      </w:r>
    </w:p>
    <w:p w14:paraId="6669147A" w14:textId="5D0FA3C5" w:rsidR="00395F5B" w:rsidRDefault="00EA4AD7" w:rsidP="00395F5B">
      <w:pPr>
        <w:jc w:val="both"/>
      </w:pPr>
      <w:r>
        <w:t xml:space="preserve">Complete this form and submit with your RFP submittal if you are proposing modifications or taking exception to any of the requirements, terms, or conditions included in the RFP, including any documents incorporated by reference (such as the Standard Contract Terms and Conditions.)  See RFP </w:t>
      </w:r>
      <w:r>
        <w:rPr>
          <w:b/>
        </w:rPr>
        <w:t>Section 1.8</w:t>
      </w:r>
      <w:r>
        <w:t xml:space="preserve"> for a full explanation of the process surrounding vendor-proposed modifications and exceptions.</w:t>
      </w:r>
    </w:p>
    <w:p w14:paraId="68438374" w14:textId="77777777" w:rsidR="00395F5B" w:rsidRPr="00637E7B" w:rsidRDefault="00395F5B" w:rsidP="00395F5B">
      <w:pPr>
        <w:jc w:val="both"/>
      </w:pPr>
    </w:p>
    <w:p w14:paraId="0116F201" w14:textId="77777777" w:rsidR="00395F5B" w:rsidRDefault="00395F5B" w:rsidP="00007DE4">
      <w:pPr>
        <w:pStyle w:val="ListParagraph"/>
        <w:numPr>
          <w:ilvl w:val="0"/>
          <w:numId w:val="15"/>
        </w:numPr>
        <w:jc w:val="both"/>
      </w:pPr>
      <w:r>
        <w:t>All modifications and exceptions to the State’s Contract Terms and Conditions must be submitted using the Contract Modification and Exceptions form and upload the form into the Q&amp;A Forum section within IPRO.</w:t>
      </w:r>
    </w:p>
    <w:p w14:paraId="684EC350" w14:textId="77777777" w:rsidR="00395F5B" w:rsidRDefault="00395F5B" w:rsidP="00007DE4">
      <w:pPr>
        <w:pStyle w:val="ListParagraph"/>
        <w:numPr>
          <w:ilvl w:val="0"/>
          <w:numId w:val="15"/>
        </w:numPr>
        <w:jc w:val="both"/>
      </w:pPr>
      <w:r>
        <w:t xml:space="preserve">All requested modifications and exceptions must be received by the deadline specified in the Procurement Schedule (Section 1.2).  </w:t>
      </w:r>
    </w:p>
    <w:p w14:paraId="30A7C1AF" w14:textId="1FF2D592" w:rsidR="00395F5B" w:rsidRDefault="00395F5B" w:rsidP="00007DE4">
      <w:pPr>
        <w:pStyle w:val="ListParagraph"/>
        <w:numPr>
          <w:ilvl w:val="0"/>
          <w:numId w:val="15"/>
        </w:numPr>
        <w:jc w:val="both"/>
      </w:pPr>
      <w:r>
        <w:t xml:space="preserve">Offerors must specifically address any and all proposed modifications and exceptions.  </w:t>
      </w:r>
    </w:p>
    <w:p w14:paraId="2EBE31EA" w14:textId="77777777" w:rsidR="00395F5B" w:rsidRDefault="00395F5B" w:rsidP="00007DE4">
      <w:pPr>
        <w:pStyle w:val="ListParagraph"/>
        <w:numPr>
          <w:ilvl w:val="0"/>
          <w:numId w:val="15"/>
        </w:numPr>
        <w:jc w:val="both"/>
      </w:pPr>
      <w:r>
        <w:t xml:space="preserve">Blanket requests to negotiate requirements, terms, or conditions will not be considered.  </w:t>
      </w:r>
    </w:p>
    <w:p w14:paraId="518DA198" w14:textId="77777777" w:rsidR="00395F5B" w:rsidRDefault="00395F5B" w:rsidP="00007DE4">
      <w:pPr>
        <w:pStyle w:val="ListParagraph"/>
        <w:numPr>
          <w:ilvl w:val="0"/>
          <w:numId w:val="15"/>
        </w:numPr>
        <w:jc w:val="both"/>
      </w:pPr>
      <w:r>
        <w:t>Do not identify your name, your company’s name, or product names of intellectual property in your questions.</w:t>
      </w:r>
    </w:p>
    <w:p w14:paraId="417D17EA" w14:textId="15E14348" w:rsidR="00395F5B" w:rsidRDefault="00395F5B" w:rsidP="00007DE4">
      <w:pPr>
        <w:pStyle w:val="ListParagraph"/>
        <w:numPr>
          <w:ilvl w:val="0"/>
          <w:numId w:val="15"/>
        </w:numPr>
        <w:jc w:val="both"/>
      </w:pPr>
      <w:r>
        <w:t>Offerors must provide an explanation as to why the requirement, term, or condition should be considered non-material.  Offeror must also provide a reason for the proposed modification or alternative language, specifically addressing the issues itemized in RFP Section 1.7.1.</w:t>
      </w:r>
    </w:p>
    <w:p w14:paraId="770B41B9" w14:textId="77777777" w:rsidR="00395F5B" w:rsidRDefault="00395F5B" w:rsidP="00395F5B">
      <w:pPr>
        <w:pStyle w:val="ListParagraph"/>
        <w:jc w:val="both"/>
      </w:pPr>
    </w:p>
    <w:p w14:paraId="05E54E9F" w14:textId="71199CED" w:rsidR="00395F5B" w:rsidRDefault="00395F5B" w:rsidP="00395F5B">
      <w:pPr>
        <w:jc w:val="both"/>
      </w:pPr>
      <w:r>
        <w:t xml:space="preserve">The determination of materiality will be made at the State’s sole discretion.  Non-material modifications or exceptions may be negotiated with the apparent successful Offeror, at the discretion of the State, and as otherwise provided in RFP </w:t>
      </w:r>
      <w:r>
        <w:rPr>
          <w:b/>
        </w:rPr>
        <w:t>Section 1.8.3</w:t>
      </w:r>
      <w:r>
        <w:t>.</w:t>
      </w:r>
    </w:p>
    <w:p w14:paraId="743C89EF" w14:textId="4905D957" w:rsidR="00032FD9" w:rsidRDefault="00032FD9" w:rsidP="00395F5B">
      <w:pPr>
        <w:jc w:val="both"/>
      </w:pPr>
    </w:p>
    <w:p w14:paraId="722BF196" w14:textId="77777777" w:rsidR="00227001" w:rsidRDefault="00227001">
      <w:pPr>
        <w:rPr>
          <w:rFonts w:cstheme="minorHAnsi"/>
          <w:sz w:val="32"/>
          <w:szCs w:val="32"/>
        </w:rPr>
      </w:pPr>
      <w:r>
        <w:rPr>
          <w:rFonts w:cstheme="minorHAnsi"/>
          <w:sz w:val="32"/>
          <w:szCs w:val="32"/>
        </w:rPr>
        <w:br w:type="page"/>
      </w:r>
    </w:p>
    <w:p w14:paraId="34B18FFF" w14:textId="7295A6C6" w:rsidR="00227001" w:rsidRPr="00976500" w:rsidRDefault="00227001" w:rsidP="00227001">
      <w:pPr>
        <w:rPr>
          <w:rFonts w:cstheme="minorHAnsi"/>
          <w:sz w:val="32"/>
          <w:szCs w:val="32"/>
        </w:rPr>
      </w:pPr>
      <w:r>
        <w:rPr>
          <w:rFonts w:cstheme="minorHAnsi"/>
          <w:sz w:val="32"/>
          <w:szCs w:val="32"/>
        </w:rPr>
        <w:lastRenderedPageBreak/>
        <w:t xml:space="preserve">Modification &amp; Exception Form </w:t>
      </w:r>
    </w:p>
    <w:p w14:paraId="1AEDF1CC" w14:textId="63864C4A" w:rsidR="00227001" w:rsidRDefault="00753696" w:rsidP="00227001">
      <w:pPr>
        <w:rPr>
          <w:rFonts w:cstheme="minorHAnsi"/>
        </w:rPr>
      </w:pPr>
      <w:r>
        <w:rPr>
          <w:rFonts w:cstheme="minorHAnsi"/>
        </w:rPr>
        <w:t>RFP #1263 - Senior Community Service Employment Program</w:t>
      </w:r>
    </w:p>
    <w:p w14:paraId="6B7CB337" w14:textId="77777777" w:rsidR="00032FD9" w:rsidRDefault="00032FD9" w:rsidP="00032FD9">
      <w:pPr>
        <w:jc w:val="both"/>
      </w:pP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1734"/>
        <w:gridCol w:w="3690"/>
        <w:gridCol w:w="2412"/>
        <w:gridCol w:w="1908"/>
      </w:tblGrid>
      <w:tr w:rsidR="00227001" w:rsidRPr="000E501D" w14:paraId="1520449F" w14:textId="77777777" w:rsidTr="00227001">
        <w:tc>
          <w:tcPr>
            <w:tcW w:w="966"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33A0E478" w14:textId="08F1E658" w:rsidR="00227001" w:rsidRPr="00227001" w:rsidRDefault="00227001" w:rsidP="00227001">
            <w:pPr>
              <w:contextualSpacing/>
              <w:jc w:val="center"/>
              <w:rPr>
                <w:b/>
                <w:bCs/>
                <w:color w:val="FFFFFF" w:themeColor="background1"/>
              </w:rPr>
            </w:pPr>
            <w:r>
              <w:rPr>
                <w:b/>
                <w:bCs/>
                <w:color w:val="FFFFFF" w:themeColor="background1"/>
              </w:rPr>
              <w:t>Section Number</w:t>
            </w:r>
          </w:p>
        </w:tc>
        <w:tc>
          <w:tcPr>
            <w:tcW w:w="1734"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70674A06" w14:textId="603588F7" w:rsidR="00227001" w:rsidRPr="00227001" w:rsidRDefault="00227001" w:rsidP="00227001">
            <w:pPr>
              <w:contextualSpacing/>
              <w:jc w:val="center"/>
              <w:rPr>
                <w:b/>
                <w:bCs/>
                <w:color w:val="FFFFFF" w:themeColor="background1"/>
              </w:rPr>
            </w:pPr>
            <w:r>
              <w:rPr>
                <w:b/>
                <w:bCs/>
                <w:color w:val="FFFFFF" w:themeColor="background1"/>
              </w:rPr>
              <w:t>Section Title</w:t>
            </w:r>
          </w:p>
        </w:tc>
        <w:tc>
          <w:tcPr>
            <w:tcW w:w="3690"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3E69A995" w14:textId="09EC7E32" w:rsidR="00227001" w:rsidRPr="00227001" w:rsidRDefault="00227001" w:rsidP="00227001">
            <w:pPr>
              <w:contextualSpacing/>
              <w:jc w:val="center"/>
              <w:rPr>
                <w:b/>
                <w:bCs/>
                <w:color w:val="FFFFFF" w:themeColor="background1"/>
              </w:rPr>
            </w:pPr>
            <w:r>
              <w:rPr>
                <w:b/>
                <w:bCs/>
                <w:color w:val="FFFFFF" w:themeColor="background1"/>
              </w:rPr>
              <w:t>Rationale Why Language Is Unacceptable</w:t>
            </w:r>
          </w:p>
        </w:tc>
        <w:tc>
          <w:tcPr>
            <w:tcW w:w="2412"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4A3F5BCF" w14:textId="77777777" w:rsidR="00227001" w:rsidRPr="00227001" w:rsidRDefault="00227001" w:rsidP="00227001">
            <w:pPr>
              <w:contextualSpacing/>
              <w:jc w:val="center"/>
              <w:rPr>
                <w:b/>
                <w:bCs/>
                <w:color w:val="FFFFFF" w:themeColor="background1"/>
              </w:rPr>
            </w:pPr>
            <w:r>
              <w:rPr>
                <w:b/>
                <w:bCs/>
                <w:color w:val="FFFFFF" w:themeColor="background1"/>
              </w:rPr>
              <w:t>Proposed Modification, Alternative, or Exception</w:t>
            </w:r>
          </w:p>
        </w:tc>
        <w:tc>
          <w:tcPr>
            <w:tcW w:w="1908"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7267D9ED" w14:textId="77777777" w:rsidR="00227001" w:rsidRPr="00227001" w:rsidRDefault="00227001" w:rsidP="00227001">
            <w:pPr>
              <w:contextualSpacing/>
              <w:jc w:val="center"/>
              <w:rPr>
                <w:b/>
                <w:bCs/>
                <w:color w:val="FFFFFF" w:themeColor="background1"/>
              </w:rPr>
            </w:pPr>
            <w:r>
              <w:rPr>
                <w:b/>
                <w:bCs/>
                <w:color w:val="FFFFFF" w:themeColor="background1"/>
              </w:rPr>
              <w:t>Response</w:t>
            </w:r>
          </w:p>
        </w:tc>
      </w:tr>
      <w:tr w:rsidR="00227001" w:rsidRPr="000E501D" w14:paraId="1AD4951A" w14:textId="77777777" w:rsidTr="00227001">
        <w:tc>
          <w:tcPr>
            <w:tcW w:w="966" w:type="dxa"/>
            <w:tcBorders>
              <w:top w:val="single" w:sz="4" w:space="0" w:color="auto"/>
              <w:left w:val="single" w:sz="4" w:space="0" w:color="auto"/>
              <w:bottom w:val="single" w:sz="4" w:space="0" w:color="auto"/>
              <w:right w:val="single" w:sz="4" w:space="0" w:color="auto"/>
            </w:tcBorders>
          </w:tcPr>
          <w:p w14:paraId="11F5546B" w14:textId="77777777" w:rsidR="00227001" w:rsidRPr="000E501D" w:rsidRDefault="00227001" w:rsidP="00227001">
            <w:pPr>
              <w:contextualSpacing/>
            </w:pPr>
          </w:p>
        </w:tc>
        <w:tc>
          <w:tcPr>
            <w:tcW w:w="1734" w:type="dxa"/>
            <w:tcBorders>
              <w:top w:val="single" w:sz="4" w:space="0" w:color="auto"/>
              <w:left w:val="single" w:sz="4" w:space="0" w:color="auto"/>
              <w:bottom w:val="single" w:sz="4" w:space="0" w:color="auto"/>
              <w:right w:val="single" w:sz="4" w:space="0" w:color="auto"/>
            </w:tcBorders>
          </w:tcPr>
          <w:p w14:paraId="38CAA08E" w14:textId="77777777" w:rsidR="00227001" w:rsidRPr="000E501D" w:rsidRDefault="00227001" w:rsidP="00227001">
            <w:pPr>
              <w:contextualSpacing/>
            </w:pPr>
          </w:p>
        </w:tc>
        <w:tc>
          <w:tcPr>
            <w:tcW w:w="3690" w:type="dxa"/>
            <w:tcBorders>
              <w:top w:val="single" w:sz="4" w:space="0" w:color="auto"/>
              <w:left w:val="single" w:sz="4" w:space="0" w:color="auto"/>
              <w:bottom w:val="single" w:sz="4" w:space="0" w:color="auto"/>
              <w:right w:val="single" w:sz="4" w:space="0" w:color="auto"/>
            </w:tcBorders>
          </w:tcPr>
          <w:p w14:paraId="0BB43962" w14:textId="458FCD7A" w:rsidR="00227001" w:rsidRPr="000E501D" w:rsidRDefault="00227001" w:rsidP="00227001">
            <w:pPr>
              <w:contextualSpacing/>
            </w:pPr>
          </w:p>
        </w:tc>
        <w:tc>
          <w:tcPr>
            <w:tcW w:w="2412" w:type="dxa"/>
            <w:tcBorders>
              <w:top w:val="single" w:sz="4" w:space="0" w:color="auto"/>
              <w:left w:val="single" w:sz="4" w:space="0" w:color="auto"/>
              <w:bottom w:val="single" w:sz="4" w:space="0" w:color="auto"/>
              <w:right w:val="single" w:sz="4" w:space="0" w:color="auto"/>
            </w:tcBorders>
          </w:tcPr>
          <w:p w14:paraId="49AF4FEC" w14:textId="77777777" w:rsidR="00227001" w:rsidRPr="000E501D" w:rsidRDefault="00227001" w:rsidP="00227001">
            <w:pPr>
              <w:contextualSpacing/>
            </w:pPr>
          </w:p>
        </w:tc>
        <w:tc>
          <w:tcPr>
            <w:tcW w:w="1908" w:type="dxa"/>
            <w:tcBorders>
              <w:top w:val="single" w:sz="4" w:space="0" w:color="auto"/>
              <w:left w:val="single" w:sz="4" w:space="0" w:color="auto"/>
              <w:bottom w:val="single" w:sz="4" w:space="0" w:color="auto"/>
              <w:right w:val="single" w:sz="4" w:space="0" w:color="auto"/>
            </w:tcBorders>
          </w:tcPr>
          <w:p w14:paraId="5B92690A" w14:textId="77777777" w:rsidR="00227001" w:rsidRPr="000E501D" w:rsidRDefault="00227001" w:rsidP="00227001">
            <w:pPr>
              <w:contextualSpacing/>
            </w:pPr>
          </w:p>
        </w:tc>
      </w:tr>
      <w:tr w:rsidR="00227001" w:rsidRPr="000E501D" w14:paraId="4A63E31C" w14:textId="77777777" w:rsidTr="00227001">
        <w:tc>
          <w:tcPr>
            <w:tcW w:w="966" w:type="dxa"/>
            <w:tcBorders>
              <w:top w:val="single" w:sz="4" w:space="0" w:color="auto"/>
              <w:left w:val="single" w:sz="4" w:space="0" w:color="auto"/>
              <w:bottom w:val="single" w:sz="4" w:space="0" w:color="auto"/>
              <w:right w:val="single" w:sz="4" w:space="0" w:color="auto"/>
            </w:tcBorders>
          </w:tcPr>
          <w:p w14:paraId="6868D292" w14:textId="77777777" w:rsidR="00227001" w:rsidRPr="000E501D" w:rsidRDefault="00227001" w:rsidP="00227001">
            <w:pPr>
              <w:contextualSpacing/>
            </w:pPr>
          </w:p>
        </w:tc>
        <w:tc>
          <w:tcPr>
            <w:tcW w:w="1734" w:type="dxa"/>
            <w:tcBorders>
              <w:top w:val="single" w:sz="4" w:space="0" w:color="auto"/>
              <w:left w:val="single" w:sz="4" w:space="0" w:color="auto"/>
              <w:bottom w:val="single" w:sz="4" w:space="0" w:color="auto"/>
              <w:right w:val="single" w:sz="4" w:space="0" w:color="auto"/>
            </w:tcBorders>
          </w:tcPr>
          <w:p w14:paraId="15DA6D32" w14:textId="77777777" w:rsidR="00227001" w:rsidRPr="000E501D" w:rsidRDefault="00227001" w:rsidP="00227001">
            <w:pPr>
              <w:contextualSpacing/>
            </w:pPr>
          </w:p>
        </w:tc>
        <w:tc>
          <w:tcPr>
            <w:tcW w:w="3690" w:type="dxa"/>
            <w:tcBorders>
              <w:top w:val="single" w:sz="4" w:space="0" w:color="auto"/>
              <w:left w:val="single" w:sz="4" w:space="0" w:color="auto"/>
              <w:bottom w:val="single" w:sz="4" w:space="0" w:color="auto"/>
              <w:right w:val="single" w:sz="4" w:space="0" w:color="auto"/>
            </w:tcBorders>
          </w:tcPr>
          <w:p w14:paraId="186319DC" w14:textId="507E3C41" w:rsidR="00227001" w:rsidRPr="000E501D" w:rsidRDefault="00227001" w:rsidP="00227001">
            <w:pPr>
              <w:contextualSpacing/>
            </w:pPr>
          </w:p>
        </w:tc>
        <w:tc>
          <w:tcPr>
            <w:tcW w:w="2412" w:type="dxa"/>
            <w:tcBorders>
              <w:top w:val="single" w:sz="4" w:space="0" w:color="auto"/>
              <w:left w:val="single" w:sz="4" w:space="0" w:color="auto"/>
              <w:bottom w:val="single" w:sz="4" w:space="0" w:color="auto"/>
              <w:right w:val="single" w:sz="4" w:space="0" w:color="auto"/>
            </w:tcBorders>
          </w:tcPr>
          <w:p w14:paraId="3C104FEC" w14:textId="77777777" w:rsidR="00227001" w:rsidRPr="000E501D" w:rsidRDefault="00227001" w:rsidP="00227001">
            <w:pPr>
              <w:contextualSpacing/>
            </w:pPr>
          </w:p>
        </w:tc>
        <w:tc>
          <w:tcPr>
            <w:tcW w:w="1908" w:type="dxa"/>
            <w:tcBorders>
              <w:top w:val="single" w:sz="4" w:space="0" w:color="auto"/>
              <w:left w:val="single" w:sz="4" w:space="0" w:color="auto"/>
              <w:bottom w:val="single" w:sz="4" w:space="0" w:color="auto"/>
              <w:right w:val="single" w:sz="4" w:space="0" w:color="auto"/>
            </w:tcBorders>
          </w:tcPr>
          <w:p w14:paraId="44AD60B5" w14:textId="77777777" w:rsidR="00227001" w:rsidRPr="000E501D" w:rsidRDefault="00227001" w:rsidP="00227001">
            <w:pPr>
              <w:contextualSpacing/>
            </w:pPr>
          </w:p>
        </w:tc>
      </w:tr>
      <w:tr w:rsidR="00227001" w:rsidRPr="000E501D" w14:paraId="285A0863" w14:textId="77777777" w:rsidTr="00227001">
        <w:tc>
          <w:tcPr>
            <w:tcW w:w="966" w:type="dxa"/>
            <w:tcBorders>
              <w:top w:val="single" w:sz="4" w:space="0" w:color="auto"/>
              <w:left w:val="single" w:sz="4" w:space="0" w:color="auto"/>
              <w:bottom w:val="single" w:sz="4" w:space="0" w:color="auto"/>
              <w:right w:val="single" w:sz="4" w:space="0" w:color="auto"/>
            </w:tcBorders>
          </w:tcPr>
          <w:p w14:paraId="750C7D77" w14:textId="77777777" w:rsidR="00227001" w:rsidRPr="000E501D" w:rsidRDefault="00227001" w:rsidP="00227001">
            <w:pPr>
              <w:contextualSpacing/>
            </w:pPr>
          </w:p>
        </w:tc>
        <w:tc>
          <w:tcPr>
            <w:tcW w:w="1734" w:type="dxa"/>
            <w:tcBorders>
              <w:top w:val="single" w:sz="4" w:space="0" w:color="auto"/>
              <w:left w:val="single" w:sz="4" w:space="0" w:color="auto"/>
              <w:bottom w:val="single" w:sz="4" w:space="0" w:color="auto"/>
              <w:right w:val="single" w:sz="4" w:space="0" w:color="auto"/>
            </w:tcBorders>
          </w:tcPr>
          <w:p w14:paraId="31070CBD" w14:textId="77777777" w:rsidR="00227001" w:rsidRPr="000E501D" w:rsidRDefault="00227001" w:rsidP="00227001">
            <w:pPr>
              <w:contextualSpacing/>
            </w:pPr>
          </w:p>
        </w:tc>
        <w:tc>
          <w:tcPr>
            <w:tcW w:w="3690" w:type="dxa"/>
            <w:tcBorders>
              <w:top w:val="single" w:sz="4" w:space="0" w:color="auto"/>
              <w:left w:val="single" w:sz="4" w:space="0" w:color="auto"/>
              <w:bottom w:val="single" w:sz="4" w:space="0" w:color="auto"/>
              <w:right w:val="single" w:sz="4" w:space="0" w:color="auto"/>
            </w:tcBorders>
          </w:tcPr>
          <w:p w14:paraId="7B362554" w14:textId="779BD9FF" w:rsidR="00227001" w:rsidRPr="000E501D" w:rsidRDefault="00227001" w:rsidP="00227001">
            <w:pPr>
              <w:contextualSpacing/>
            </w:pPr>
          </w:p>
        </w:tc>
        <w:tc>
          <w:tcPr>
            <w:tcW w:w="2412" w:type="dxa"/>
            <w:tcBorders>
              <w:top w:val="single" w:sz="4" w:space="0" w:color="auto"/>
              <w:left w:val="single" w:sz="4" w:space="0" w:color="auto"/>
              <w:bottom w:val="single" w:sz="4" w:space="0" w:color="auto"/>
              <w:right w:val="single" w:sz="4" w:space="0" w:color="auto"/>
            </w:tcBorders>
          </w:tcPr>
          <w:p w14:paraId="112FF3BB" w14:textId="77777777" w:rsidR="00227001" w:rsidRPr="000E501D" w:rsidRDefault="00227001" w:rsidP="00227001">
            <w:pPr>
              <w:contextualSpacing/>
            </w:pPr>
          </w:p>
        </w:tc>
        <w:tc>
          <w:tcPr>
            <w:tcW w:w="1908" w:type="dxa"/>
            <w:tcBorders>
              <w:top w:val="single" w:sz="4" w:space="0" w:color="auto"/>
              <w:left w:val="single" w:sz="4" w:space="0" w:color="auto"/>
              <w:bottom w:val="single" w:sz="4" w:space="0" w:color="auto"/>
              <w:right w:val="single" w:sz="4" w:space="0" w:color="auto"/>
            </w:tcBorders>
          </w:tcPr>
          <w:p w14:paraId="39E88599" w14:textId="77777777" w:rsidR="00227001" w:rsidRPr="000E501D" w:rsidRDefault="00227001" w:rsidP="00227001">
            <w:pPr>
              <w:contextualSpacing/>
            </w:pPr>
          </w:p>
        </w:tc>
      </w:tr>
      <w:tr w:rsidR="00227001" w:rsidRPr="000E501D" w14:paraId="28095E9D" w14:textId="77777777" w:rsidTr="00227001">
        <w:tc>
          <w:tcPr>
            <w:tcW w:w="966" w:type="dxa"/>
            <w:tcBorders>
              <w:top w:val="single" w:sz="4" w:space="0" w:color="auto"/>
              <w:left w:val="single" w:sz="4" w:space="0" w:color="auto"/>
              <w:bottom w:val="single" w:sz="4" w:space="0" w:color="auto"/>
              <w:right w:val="single" w:sz="4" w:space="0" w:color="auto"/>
            </w:tcBorders>
          </w:tcPr>
          <w:p w14:paraId="21009496" w14:textId="77777777" w:rsidR="00227001" w:rsidRPr="000E501D" w:rsidRDefault="00227001" w:rsidP="00227001">
            <w:pPr>
              <w:contextualSpacing/>
            </w:pPr>
          </w:p>
        </w:tc>
        <w:tc>
          <w:tcPr>
            <w:tcW w:w="1734" w:type="dxa"/>
            <w:tcBorders>
              <w:top w:val="single" w:sz="4" w:space="0" w:color="auto"/>
              <w:left w:val="single" w:sz="4" w:space="0" w:color="auto"/>
              <w:bottom w:val="single" w:sz="4" w:space="0" w:color="auto"/>
              <w:right w:val="single" w:sz="4" w:space="0" w:color="auto"/>
            </w:tcBorders>
          </w:tcPr>
          <w:p w14:paraId="3BD36A3E" w14:textId="77777777" w:rsidR="00227001" w:rsidRPr="000E501D" w:rsidRDefault="00227001" w:rsidP="00227001">
            <w:pPr>
              <w:contextualSpacing/>
            </w:pPr>
          </w:p>
        </w:tc>
        <w:tc>
          <w:tcPr>
            <w:tcW w:w="3690" w:type="dxa"/>
            <w:tcBorders>
              <w:top w:val="single" w:sz="4" w:space="0" w:color="auto"/>
              <w:left w:val="single" w:sz="4" w:space="0" w:color="auto"/>
              <w:bottom w:val="single" w:sz="4" w:space="0" w:color="auto"/>
              <w:right w:val="single" w:sz="4" w:space="0" w:color="auto"/>
            </w:tcBorders>
          </w:tcPr>
          <w:p w14:paraId="2E50F112" w14:textId="7680874C" w:rsidR="00227001" w:rsidRPr="000E501D" w:rsidRDefault="00227001" w:rsidP="00227001">
            <w:pPr>
              <w:contextualSpacing/>
            </w:pPr>
          </w:p>
        </w:tc>
        <w:tc>
          <w:tcPr>
            <w:tcW w:w="2412" w:type="dxa"/>
            <w:tcBorders>
              <w:top w:val="single" w:sz="4" w:space="0" w:color="auto"/>
              <w:left w:val="single" w:sz="4" w:space="0" w:color="auto"/>
              <w:bottom w:val="single" w:sz="4" w:space="0" w:color="auto"/>
              <w:right w:val="single" w:sz="4" w:space="0" w:color="auto"/>
            </w:tcBorders>
          </w:tcPr>
          <w:p w14:paraId="2AC1A9E8" w14:textId="77777777" w:rsidR="00227001" w:rsidRPr="000E501D" w:rsidRDefault="00227001" w:rsidP="00227001">
            <w:pPr>
              <w:contextualSpacing/>
            </w:pPr>
          </w:p>
        </w:tc>
        <w:tc>
          <w:tcPr>
            <w:tcW w:w="1908" w:type="dxa"/>
            <w:tcBorders>
              <w:top w:val="single" w:sz="4" w:space="0" w:color="auto"/>
              <w:left w:val="single" w:sz="4" w:space="0" w:color="auto"/>
              <w:bottom w:val="single" w:sz="4" w:space="0" w:color="auto"/>
              <w:right w:val="single" w:sz="4" w:space="0" w:color="auto"/>
            </w:tcBorders>
          </w:tcPr>
          <w:p w14:paraId="2D3D699C" w14:textId="77777777" w:rsidR="00227001" w:rsidRPr="000E501D" w:rsidRDefault="00227001" w:rsidP="00227001">
            <w:pPr>
              <w:contextualSpacing/>
            </w:pPr>
          </w:p>
        </w:tc>
      </w:tr>
      <w:tr w:rsidR="00227001" w:rsidRPr="000E501D" w14:paraId="3EF25513" w14:textId="77777777" w:rsidTr="00227001">
        <w:tc>
          <w:tcPr>
            <w:tcW w:w="966" w:type="dxa"/>
            <w:tcBorders>
              <w:top w:val="single" w:sz="4" w:space="0" w:color="auto"/>
              <w:left w:val="single" w:sz="4" w:space="0" w:color="auto"/>
              <w:bottom w:val="single" w:sz="4" w:space="0" w:color="auto"/>
              <w:right w:val="single" w:sz="4" w:space="0" w:color="auto"/>
            </w:tcBorders>
          </w:tcPr>
          <w:p w14:paraId="0A7F77D1" w14:textId="77777777" w:rsidR="00227001" w:rsidRPr="000E501D" w:rsidRDefault="00227001" w:rsidP="00227001">
            <w:pPr>
              <w:contextualSpacing/>
            </w:pPr>
          </w:p>
        </w:tc>
        <w:tc>
          <w:tcPr>
            <w:tcW w:w="1734" w:type="dxa"/>
            <w:tcBorders>
              <w:top w:val="single" w:sz="4" w:space="0" w:color="auto"/>
              <w:left w:val="single" w:sz="4" w:space="0" w:color="auto"/>
              <w:bottom w:val="single" w:sz="4" w:space="0" w:color="auto"/>
              <w:right w:val="single" w:sz="4" w:space="0" w:color="auto"/>
            </w:tcBorders>
          </w:tcPr>
          <w:p w14:paraId="5E14A299" w14:textId="77777777" w:rsidR="00227001" w:rsidRPr="000E501D" w:rsidRDefault="00227001" w:rsidP="00227001">
            <w:pPr>
              <w:contextualSpacing/>
            </w:pPr>
          </w:p>
        </w:tc>
        <w:tc>
          <w:tcPr>
            <w:tcW w:w="3690" w:type="dxa"/>
            <w:tcBorders>
              <w:top w:val="single" w:sz="4" w:space="0" w:color="auto"/>
              <w:left w:val="single" w:sz="4" w:space="0" w:color="auto"/>
              <w:bottom w:val="single" w:sz="4" w:space="0" w:color="auto"/>
              <w:right w:val="single" w:sz="4" w:space="0" w:color="auto"/>
            </w:tcBorders>
          </w:tcPr>
          <w:p w14:paraId="57244B0A" w14:textId="389F9B46" w:rsidR="00227001" w:rsidRPr="000E501D" w:rsidRDefault="00227001" w:rsidP="00227001">
            <w:pPr>
              <w:contextualSpacing/>
            </w:pPr>
          </w:p>
        </w:tc>
        <w:tc>
          <w:tcPr>
            <w:tcW w:w="2412" w:type="dxa"/>
            <w:tcBorders>
              <w:top w:val="single" w:sz="4" w:space="0" w:color="auto"/>
              <w:left w:val="single" w:sz="4" w:space="0" w:color="auto"/>
              <w:bottom w:val="single" w:sz="4" w:space="0" w:color="auto"/>
              <w:right w:val="single" w:sz="4" w:space="0" w:color="auto"/>
            </w:tcBorders>
          </w:tcPr>
          <w:p w14:paraId="3FBEE538" w14:textId="77777777" w:rsidR="00227001" w:rsidRPr="000E501D" w:rsidRDefault="00227001" w:rsidP="00227001">
            <w:pPr>
              <w:contextualSpacing/>
            </w:pPr>
          </w:p>
        </w:tc>
        <w:tc>
          <w:tcPr>
            <w:tcW w:w="1908" w:type="dxa"/>
            <w:tcBorders>
              <w:top w:val="single" w:sz="4" w:space="0" w:color="auto"/>
              <w:left w:val="single" w:sz="4" w:space="0" w:color="auto"/>
              <w:bottom w:val="single" w:sz="4" w:space="0" w:color="auto"/>
              <w:right w:val="single" w:sz="4" w:space="0" w:color="auto"/>
            </w:tcBorders>
          </w:tcPr>
          <w:p w14:paraId="706DCA2F" w14:textId="77777777" w:rsidR="00227001" w:rsidRPr="000E501D" w:rsidRDefault="00227001" w:rsidP="00227001">
            <w:pPr>
              <w:contextualSpacing/>
            </w:pPr>
          </w:p>
        </w:tc>
      </w:tr>
      <w:tr w:rsidR="00227001" w:rsidRPr="000E501D" w14:paraId="2E868DCF" w14:textId="77777777" w:rsidTr="00227001">
        <w:tc>
          <w:tcPr>
            <w:tcW w:w="966" w:type="dxa"/>
            <w:tcBorders>
              <w:top w:val="single" w:sz="4" w:space="0" w:color="auto"/>
              <w:left w:val="single" w:sz="4" w:space="0" w:color="auto"/>
              <w:bottom w:val="single" w:sz="4" w:space="0" w:color="auto"/>
              <w:right w:val="single" w:sz="4" w:space="0" w:color="auto"/>
            </w:tcBorders>
          </w:tcPr>
          <w:p w14:paraId="71B6983C" w14:textId="77777777" w:rsidR="00227001" w:rsidRPr="000E501D" w:rsidRDefault="00227001" w:rsidP="00227001">
            <w:pPr>
              <w:contextualSpacing/>
            </w:pPr>
          </w:p>
        </w:tc>
        <w:tc>
          <w:tcPr>
            <w:tcW w:w="1734" w:type="dxa"/>
            <w:tcBorders>
              <w:top w:val="single" w:sz="4" w:space="0" w:color="auto"/>
              <w:left w:val="single" w:sz="4" w:space="0" w:color="auto"/>
              <w:bottom w:val="single" w:sz="4" w:space="0" w:color="auto"/>
              <w:right w:val="single" w:sz="4" w:space="0" w:color="auto"/>
            </w:tcBorders>
          </w:tcPr>
          <w:p w14:paraId="3DCCC568" w14:textId="77777777" w:rsidR="00227001" w:rsidRPr="000E501D" w:rsidRDefault="00227001" w:rsidP="00227001">
            <w:pPr>
              <w:contextualSpacing/>
            </w:pPr>
          </w:p>
        </w:tc>
        <w:tc>
          <w:tcPr>
            <w:tcW w:w="3690" w:type="dxa"/>
            <w:tcBorders>
              <w:top w:val="single" w:sz="4" w:space="0" w:color="auto"/>
              <w:left w:val="single" w:sz="4" w:space="0" w:color="auto"/>
              <w:bottom w:val="single" w:sz="4" w:space="0" w:color="auto"/>
              <w:right w:val="single" w:sz="4" w:space="0" w:color="auto"/>
            </w:tcBorders>
          </w:tcPr>
          <w:p w14:paraId="04FB29F1" w14:textId="58AE9D13" w:rsidR="00227001" w:rsidRPr="000E501D" w:rsidRDefault="00227001" w:rsidP="00227001">
            <w:pPr>
              <w:contextualSpacing/>
            </w:pPr>
          </w:p>
        </w:tc>
        <w:tc>
          <w:tcPr>
            <w:tcW w:w="2412" w:type="dxa"/>
            <w:tcBorders>
              <w:top w:val="single" w:sz="4" w:space="0" w:color="auto"/>
              <w:left w:val="single" w:sz="4" w:space="0" w:color="auto"/>
              <w:bottom w:val="single" w:sz="4" w:space="0" w:color="auto"/>
              <w:right w:val="single" w:sz="4" w:space="0" w:color="auto"/>
            </w:tcBorders>
          </w:tcPr>
          <w:p w14:paraId="25AD1A38" w14:textId="77777777" w:rsidR="00227001" w:rsidRPr="000E501D" w:rsidRDefault="00227001" w:rsidP="00227001">
            <w:pPr>
              <w:contextualSpacing/>
            </w:pPr>
          </w:p>
        </w:tc>
        <w:tc>
          <w:tcPr>
            <w:tcW w:w="1908" w:type="dxa"/>
            <w:tcBorders>
              <w:top w:val="single" w:sz="4" w:space="0" w:color="auto"/>
              <w:left w:val="single" w:sz="4" w:space="0" w:color="auto"/>
              <w:bottom w:val="single" w:sz="4" w:space="0" w:color="auto"/>
              <w:right w:val="single" w:sz="4" w:space="0" w:color="auto"/>
            </w:tcBorders>
          </w:tcPr>
          <w:p w14:paraId="5F9692B2" w14:textId="77777777" w:rsidR="00227001" w:rsidRPr="000E501D" w:rsidRDefault="00227001" w:rsidP="00227001">
            <w:pPr>
              <w:contextualSpacing/>
            </w:pPr>
          </w:p>
        </w:tc>
      </w:tr>
      <w:tr w:rsidR="00227001" w:rsidRPr="000E501D" w14:paraId="137E5D47" w14:textId="77777777" w:rsidTr="00227001">
        <w:tc>
          <w:tcPr>
            <w:tcW w:w="966" w:type="dxa"/>
            <w:tcBorders>
              <w:top w:val="single" w:sz="4" w:space="0" w:color="auto"/>
              <w:left w:val="single" w:sz="4" w:space="0" w:color="auto"/>
              <w:bottom w:val="single" w:sz="4" w:space="0" w:color="auto"/>
              <w:right w:val="single" w:sz="4" w:space="0" w:color="auto"/>
            </w:tcBorders>
          </w:tcPr>
          <w:p w14:paraId="7AFAFB30" w14:textId="77777777" w:rsidR="00227001" w:rsidRPr="000E501D" w:rsidRDefault="00227001" w:rsidP="00227001">
            <w:pPr>
              <w:contextualSpacing/>
            </w:pPr>
          </w:p>
        </w:tc>
        <w:tc>
          <w:tcPr>
            <w:tcW w:w="1734" w:type="dxa"/>
            <w:tcBorders>
              <w:top w:val="single" w:sz="4" w:space="0" w:color="auto"/>
              <w:left w:val="single" w:sz="4" w:space="0" w:color="auto"/>
              <w:bottom w:val="single" w:sz="4" w:space="0" w:color="auto"/>
              <w:right w:val="single" w:sz="4" w:space="0" w:color="auto"/>
            </w:tcBorders>
          </w:tcPr>
          <w:p w14:paraId="5C6C96F3" w14:textId="77777777" w:rsidR="00227001" w:rsidRPr="000E501D" w:rsidRDefault="00227001" w:rsidP="00227001">
            <w:pPr>
              <w:contextualSpacing/>
            </w:pPr>
          </w:p>
        </w:tc>
        <w:tc>
          <w:tcPr>
            <w:tcW w:w="3690" w:type="dxa"/>
            <w:tcBorders>
              <w:top w:val="single" w:sz="4" w:space="0" w:color="auto"/>
              <w:left w:val="single" w:sz="4" w:space="0" w:color="auto"/>
              <w:bottom w:val="single" w:sz="4" w:space="0" w:color="auto"/>
              <w:right w:val="single" w:sz="4" w:space="0" w:color="auto"/>
            </w:tcBorders>
          </w:tcPr>
          <w:p w14:paraId="09835B19" w14:textId="73BE0902" w:rsidR="00227001" w:rsidRPr="000E501D" w:rsidRDefault="00227001" w:rsidP="00227001">
            <w:pPr>
              <w:contextualSpacing/>
            </w:pPr>
          </w:p>
        </w:tc>
        <w:tc>
          <w:tcPr>
            <w:tcW w:w="2412" w:type="dxa"/>
            <w:tcBorders>
              <w:top w:val="single" w:sz="4" w:space="0" w:color="auto"/>
              <w:left w:val="single" w:sz="4" w:space="0" w:color="auto"/>
              <w:bottom w:val="single" w:sz="4" w:space="0" w:color="auto"/>
              <w:right w:val="single" w:sz="4" w:space="0" w:color="auto"/>
            </w:tcBorders>
          </w:tcPr>
          <w:p w14:paraId="3A58C59A" w14:textId="77777777" w:rsidR="00227001" w:rsidRPr="000E501D" w:rsidRDefault="00227001" w:rsidP="00227001">
            <w:pPr>
              <w:contextualSpacing/>
            </w:pPr>
          </w:p>
        </w:tc>
        <w:tc>
          <w:tcPr>
            <w:tcW w:w="1908" w:type="dxa"/>
            <w:tcBorders>
              <w:top w:val="single" w:sz="4" w:space="0" w:color="auto"/>
              <w:left w:val="single" w:sz="4" w:space="0" w:color="auto"/>
              <w:bottom w:val="single" w:sz="4" w:space="0" w:color="auto"/>
              <w:right w:val="single" w:sz="4" w:space="0" w:color="auto"/>
            </w:tcBorders>
          </w:tcPr>
          <w:p w14:paraId="1FC63F7D" w14:textId="77777777" w:rsidR="00227001" w:rsidRPr="000E501D" w:rsidRDefault="00227001" w:rsidP="00227001">
            <w:pPr>
              <w:contextualSpacing/>
            </w:pPr>
          </w:p>
        </w:tc>
      </w:tr>
      <w:tr w:rsidR="00227001" w:rsidRPr="000E501D" w14:paraId="530175B5" w14:textId="77777777" w:rsidTr="00227001">
        <w:tc>
          <w:tcPr>
            <w:tcW w:w="966" w:type="dxa"/>
            <w:tcBorders>
              <w:top w:val="single" w:sz="4" w:space="0" w:color="auto"/>
              <w:left w:val="single" w:sz="4" w:space="0" w:color="auto"/>
              <w:bottom w:val="single" w:sz="4" w:space="0" w:color="auto"/>
              <w:right w:val="single" w:sz="4" w:space="0" w:color="auto"/>
            </w:tcBorders>
          </w:tcPr>
          <w:p w14:paraId="71CD2F7A" w14:textId="77777777" w:rsidR="00227001" w:rsidRPr="000E501D" w:rsidRDefault="00227001" w:rsidP="00227001">
            <w:pPr>
              <w:contextualSpacing/>
            </w:pPr>
          </w:p>
        </w:tc>
        <w:tc>
          <w:tcPr>
            <w:tcW w:w="1734" w:type="dxa"/>
            <w:tcBorders>
              <w:top w:val="single" w:sz="4" w:space="0" w:color="auto"/>
              <w:left w:val="single" w:sz="4" w:space="0" w:color="auto"/>
              <w:bottom w:val="single" w:sz="4" w:space="0" w:color="auto"/>
              <w:right w:val="single" w:sz="4" w:space="0" w:color="auto"/>
            </w:tcBorders>
          </w:tcPr>
          <w:p w14:paraId="71D54D27" w14:textId="77777777" w:rsidR="00227001" w:rsidRPr="000E501D" w:rsidRDefault="00227001" w:rsidP="00227001">
            <w:pPr>
              <w:contextualSpacing/>
            </w:pPr>
          </w:p>
        </w:tc>
        <w:tc>
          <w:tcPr>
            <w:tcW w:w="3690" w:type="dxa"/>
            <w:tcBorders>
              <w:top w:val="single" w:sz="4" w:space="0" w:color="auto"/>
              <w:left w:val="single" w:sz="4" w:space="0" w:color="auto"/>
              <w:bottom w:val="single" w:sz="4" w:space="0" w:color="auto"/>
              <w:right w:val="single" w:sz="4" w:space="0" w:color="auto"/>
            </w:tcBorders>
          </w:tcPr>
          <w:p w14:paraId="67A34E7C" w14:textId="4CE7C09E" w:rsidR="00227001" w:rsidRPr="000E501D" w:rsidRDefault="00227001" w:rsidP="00227001">
            <w:pPr>
              <w:contextualSpacing/>
            </w:pPr>
          </w:p>
        </w:tc>
        <w:tc>
          <w:tcPr>
            <w:tcW w:w="2412" w:type="dxa"/>
            <w:tcBorders>
              <w:top w:val="single" w:sz="4" w:space="0" w:color="auto"/>
              <w:left w:val="single" w:sz="4" w:space="0" w:color="auto"/>
              <w:bottom w:val="single" w:sz="4" w:space="0" w:color="auto"/>
              <w:right w:val="single" w:sz="4" w:space="0" w:color="auto"/>
            </w:tcBorders>
          </w:tcPr>
          <w:p w14:paraId="42CA3DFB" w14:textId="77777777" w:rsidR="00227001" w:rsidRPr="000E501D" w:rsidRDefault="00227001" w:rsidP="00227001">
            <w:pPr>
              <w:contextualSpacing/>
            </w:pPr>
          </w:p>
        </w:tc>
        <w:tc>
          <w:tcPr>
            <w:tcW w:w="1908" w:type="dxa"/>
            <w:tcBorders>
              <w:top w:val="single" w:sz="4" w:space="0" w:color="auto"/>
              <w:left w:val="single" w:sz="4" w:space="0" w:color="auto"/>
              <w:bottom w:val="single" w:sz="4" w:space="0" w:color="auto"/>
              <w:right w:val="single" w:sz="4" w:space="0" w:color="auto"/>
            </w:tcBorders>
          </w:tcPr>
          <w:p w14:paraId="3C3EDF18" w14:textId="77777777" w:rsidR="00227001" w:rsidRPr="000E501D" w:rsidRDefault="00227001" w:rsidP="00227001">
            <w:pPr>
              <w:contextualSpacing/>
            </w:pPr>
          </w:p>
        </w:tc>
      </w:tr>
      <w:tr w:rsidR="00227001" w:rsidRPr="000E501D" w14:paraId="6AE274A0" w14:textId="77777777" w:rsidTr="00227001">
        <w:tc>
          <w:tcPr>
            <w:tcW w:w="966" w:type="dxa"/>
            <w:tcBorders>
              <w:top w:val="single" w:sz="4" w:space="0" w:color="auto"/>
              <w:left w:val="single" w:sz="4" w:space="0" w:color="auto"/>
              <w:bottom w:val="single" w:sz="4" w:space="0" w:color="auto"/>
              <w:right w:val="single" w:sz="4" w:space="0" w:color="auto"/>
            </w:tcBorders>
          </w:tcPr>
          <w:p w14:paraId="7A0D805C" w14:textId="77777777" w:rsidR="00227001" w:rsidRPr="000E501D" w:rsidRDefault="00227001" w:rsidP="00227001">
            <w:pPr>
              <w:contextualSpacing/>
            </w:pPr>
          </w:p>
        </w:tc>
        <w:tc>
          <w:tcPr>
            <w:tcW w:w="1734" w:type="dxa"/>
            <w:tcBorders>
              <w:top w:val="single" w:sz="4" w:space="0" w:color="auto"/>
              <w:left w:val="single" w:sz="4" w:space="0" w:color="auto"/>
              <w:bottom w:val="single" w:sz="4" w:space="0" w:color="auto"/>
              <w:right w:val="single" w:sz="4" w:space="0" w:color="auto"/>
            </w:tcBorders>
          </w:tcPr>
          <w:p w14:paraId="0B1F3236" w14:textId="77777777" w:rsidR="00227001" w:rsidRPr="000E501D" w:rsidRDefault="00227001" w:rsidP="00227001">
            <w:pPr>
              <w:contextualSpacing/>
            </w:pPr>
          </w:p>
        </w:tc>
        <w:tc>
          <w:tcPr>
            <w:tcW w:w="3690" w:type="dxa"/>
            <w:tcBorders>
              <w:top w:val="single" w:sz="4" w:space="0" w:color="auto"/>
              <w:left w:val="single" w:sz="4" w:space="0" w:color="auto"/>
              <w:bottom w:val="single" w:sz="4" w:space="0" w:color="auto"/>
              <w:right w:val="single" w:sz="4" w:space="0" w:color="auto"/>
            </w:tcBorders>
          </w:tcPr>
          <w:p w14:paraId="730240EE" w14:textId="1EFDD69E" w:rsidR="00227001" w:rsidRPr="000E501D" w:rsidRDefault="00227001" w:rsidP="00227001">
            <w:pPr>
              <w:contextualSpacing/>
            </w:pPr>
          </w:p>
        </w:tc>
        <w:tc>
          <w:tcPr>
            <w:tcW w:w="2412" w:type="dxa"/>
            <w:tcBorders>
              <w:top w:val="single" w:sz="4" w:space="0" w:color="auto"/>
              <w:left w:val="single" w:sz="4" w:space="0" w:color="auto"/>
              <w:bottom w:val="single" w:sz="4" w:space="0" w:color="auto"/>
              <w:right w:val="single" w:sz="4" w:space="0" w:color="auto"/>
            </w:tcBorders>
          </w:tcPr>
          <w:p w14:paraId="69766020" w14:textId="77777777" w:rsidR="00227001" w:rsidRPr="000E501D" w:rsidRDefault="00227001" w:rsidP="00227001">
            <w:pPr>
              <w:contextualSpacing/>
            </w:pPr>
          </w:p>
        </w:tc>
        <w:tc>
          <w:tcPr>
            <w:tcW w:w="1908" w:type="dxa"/>
            <w:tcBorders>
              <w:top w:val="single" w:sz="4" w:space="0" w:color="auto"/>
              <w:left w:val="single" w:sz="4" w:space="0" w:color="auto"/>
              <w:bottom w:val="single" w:sz="4" w:space="0" w:color="auto"/>
              <w:right w:val="single" w:sz="4" w:space="0" w:color="auto"/>
            </w:tcBorders>
          </w:tcPr>
          <w:p w14:paraId="6582ED9C" w14:textId="77777777" w:rsidR="00227001" w:rsidRPr="000E501D" w:rsidRDefault="00227001" w:rsidP="00227001">
            <w:pPr>
              <w:contextualSpacing/>
            </w:pPr>
          </w:p>
        </w:tc>
      </w:tr>
      <w:tr w:rsidR="00227001" w:rsidRPr="000E501D" w14:paraId="4BD7042A" w14:textId="77777777" w:rsidTr="00227001">
        <w:tc>
          <w:tcPr>
            <w:tcW w:w="966" w:type="dxa"/>
            <w:tcBorders>
              <w:top w:val="single" w:sz="4" w:space="0" w:color="auto"/>
              <w:left w:val="single" w:sz="4" w:space="0" w:color="auto"/>
              <w:bottom w:val="single" w:sz="4" w:space="0" w:color="auto"/>
              <w:right w:val="single" w:sz="4" w:space="0" w:color="auto"/>
            </w:tcBorders>
          </w:tcPr>
          <w:p w14:paraId="0CA1211A" w14:textId="77777777" w:rsidR="00227001" w:rsidRPr="000E501D" w:rsidRDefault="00227001" w:rsidP="00227001">
            <w:pPr>
              <w:contextualSpacing/>
            </w:pPr>
          </w:p>
        </w:tc>
        <w:tc>
          <w:tcPr>
            <w:tcW w:w="1734" w:type="dxa"/>
            <w:tcBorders>
              <w:top w:val="single" w:sz="4" w:space="0" w:color="auto"/>
              <w:left w:val="single" w:sz="4" w:space="0" w:color="auto"/>
              <w:bottom w:val="single" w:sz="4" w:space="0" w:color="auto"/>
              <w:right w:val="single" w:sz="4" w:space="0" w:color="auto"/>
            </w:tcBorders>
          </w:tcPr>
          <w:p w14:paraId="1725E28B" w14:textId="77777777" w:rsidR="00227001" w:rsidRPr="000E501D" w:rsidRDefault="00227001" w:rsidP="00227001">
            <w:pPr>
              <w:contextualSpacing/>
            </w:pPr>
          </w:p>
        </w:tc>
        <w:tc>
          <w:tcPr>
            <w:tcW w:w="3690" w:type="dxa"/>
            <w:tcBorders>
              <w:top w:val="single" w:sz="4" w:space="0" w:color="auto"/>
              <w:left w:val="single" w:sz="4" w:space="0" w:color="auto"/>
              <w:bottom w:val="single" w:sz="4" w:space="0" w:color="auto"/>
              <w:right w:val="single" w:sz="4" w:space="0" w:color="auto"/>
            </w:tcBorders>
          </w:tcPr>
          <w:p w14:paraId="1C7FA968" w14:textId="46D5E7AE" w:rsidR="00227001" w:rsidRPr="000E501D" w:rsidRDefault="00227001" w:rsidP="00227001">
            <w:pPr>
              <w:contextualSpacing/>
            </w:pPr>
          </w:p>
        </w:tc>
        <w:tc>
          <w:tcPr>
            <w:tcW w:w="2412" w:type="dxa"/>
            <w:tcBorders>
              <w:top w:val="single" w:sz="4" w:space="0" w:color="auto"/>
              <w:left w:val="single" w:sz="4" w:space="0" w:color="auto"/>
              <w:bottom w:val="single" w:sz="4" w:space="0" w:color="auto"/>
              <w:right w:val="single" w:sz="4" w:space="0" w:color="auto"/>
            </w:tcBorders>
          </w:tcPr>
          <w:p w14:paraId="5E480ABE" w14:textId="77777777" w:rsidR="00227001" w:rsidRPr="000E501D" w:rsidRDefault="00227001" w:rsidP="00227001">
            <w:pPr>
              <w:contextualSpacing/>
            </w:pPr>
          </w:p>
        </w:tc>
        <w:tc>
          <w:tcPr>
            <w:tcW w:w="1908" w:type="dxa"/>
            <w:tcBorders>
              <w:top w:val="single" w:sz="4" w:space="0" w:color="auto"/>
              <w:left w:val="single" w:sz="4" w:space="0" w:color="auto"/>
              <w:bottom w:val="single" w:sz="4" w:space="0" w:color="auto"/>
              <w:right w:val="single" w:sz="4" w:space="0" w:color="auto"/>
            </w:tcBorders>
          </w:tcPr>
          <w:p w14:paraId="48AA644F" w14:textId="77777777" w:rsidR="00227001" w:rsidRPr="000E501D" w:rsidRDefault="00227001" w:rsidP="00227001">
            <w:pPr>
              <w:contextualSpacing/>
            </w:pPr>
          </w:p>
        </w:tc>
      </w:tr>
    </w:tbl>
    <w:p w14:paraId="31587E53" w14:textId="77777777" w:rsidR="001B44B9" w:rsidRPr="002609B5" w:rsidRDefault="001B44B9" w:rsidP="004A731A">
      <w:pPr>
        <w:jc w:val="both"/>
        <w:rPr>
          <w:sz w:val="20"/>
          <w:szCs w:val="20"/>
        </w:rPr>
      </w:pPr>
    </w:p>
    <w:p w14:paraId="79332498" w14:textId="77777777" w:rsidR="00A747F7" w:rsidRPr="002609B5" w:rsidRDefault="00A747F7" w:rsidP="004A731A">
      <w:pPr>
        <w:ind w:left="360"/>
        <w:jc w:val="both"/>
        <w:rPr>
          <w:sz w:val="20"/>
          <w:szCs w:val="20"/>
        </w:rPr>
      </w:pPr>
    </w:p>
    <w:p w14:paraId="32764EF4" w14:textId="79B787CD" w:rsidR="00702683" w:rsidRDefault="00A747F7" w:rsidP="008C3E7B">
      <w:r>
        <w:br w:type="page"/>
      </w:r>
    </w:p>
    <w:p w14:paraId="0AF71CB7" w14:textId="7A7A3A4E" w:rsidR="00B84CEF" w:rsidRPr="00B84CEF" w:rsidRDefault="00B84CEF" w:rsidP="00B84CEF">
      <w:pPr>
        <w:jc w:val="center"/>
        <w:rPr>
          <w:spacing w:val="20"/>
          <w:sz w:val="48"/>
          <w:szCs w:val="48"/>
        </w:rPr>
      </w:pPr>
      <w:r>
        <w:rPr>
          <w:spacing w:val="20"/>
          <w:sz w:val="48"/>
          <w:szCs w:val="48"/>
        </w:rPr>
        <w:lastRenderedPageBreak/>
        <w:t>SUBMITTAL FORM A</w:t>
      </w:r>
    </w:p>
    <w:p w14:paraId="4515504D" w14:textId="77777777" w:rsidR="00B84CEF" w:rsidRPr="00B84CEF" w:rsidRDefault="00B84CEF" w:rsidP="0014373B">
      <w:pPr>
        <w:shd w:val="clear" w:color="auto" w:fill="F2F2F2" w:themeFill="background1" w:themeFillShade="F2"/>
        <w:jc w:val="center"/>
        <w:rPr>
          <w:b/>
          <w:bCs/>
          <w:spacing w:val="20"/>
          <w:sz w:val="36"/>
          <w:szCs w:val="36"/>
        </w:rPr>
      </w:pPr>
      <w:r>
        <w:rPr>
          <w:b/>
          <w:bCs/>
          <w:spacing w:val="20"/>
          <w:sz w:val="36"/>
          <w:szCs w:val="36"/>
        </w:rPr>
        <w:t>Background, Declarations, &amp; Certifications</w:t>
      </w:r>
    </w:p>
    <w:p w14:paraId="5DB6802C" w14:textId="77777777" w:rsidR="00B84CEF" w:rsidRDefault="00B84CEF" w:rsidP="00B84CEF">
      <w:pPr>
        <w:jc w:val="both"/>
      </w:pPr>
    </w:p>
    <w:p w14:paraId="1599A9A8" w14:textId="77777777" w:rsidR="00E37300" w:rsidRDefault="00E37300" w:rsidP="00E37300">
      <w:pPr>
        <w:jc w:val="center"/>
      </w:pPr>
      <w:r>
        <w:t xml:space="preserve">All information requested in this Submittal Form is Mandatory.  </w:t>
      </w:r>
    </w:p>
    <w:p w14:paraId="175F08F3" w14:textId="77777777" w:rsidR="00E37300" w:rsidRDefault="00E37300" w:rsidP="00E37300">
      <w:pPr>
        <w:jc w:val="center"/>
      </w:pPr>
      <w:r>
        <w:t xml:space="preserve">Failure to complete or respond to each question, failure to sign this Form, and failure to submit this Form </w:t>
      </w:r>
    </w:p>
    <w:p w14:paraId="6E184348" w14:textId="430E51A5" w:rsidR="00E37300" w:rsidRDefault="00E37300" w:rsidP="00E37300">
      <w:pPr>
        <w:jc w:val="center"/>
      </w:pPr>
      <w:r>
        <w:t>may result in your Proposal being deemed non-responsive.</w:t>
      </w:r>
    </w:p>
    <w:p w14:paraId="73CA1901" w14:textId="77777777" w:rsidR="00E37300" w:rsidRDefault="00E37300" w:rsidP="00E37300">
      <w:pPr>
        <w:jc w:val="both"/>
      </w:pPr>
    </w:p>
    <w:p w14:paraId="29284B26" w14:textId="77777777" w:rsidR="00B84CEF" w:rsidRDefault="00B84CEF" w:rsidP="00B84CEF">
      <w:pPr>
        <w:jc w:val="both"/>
      </w:pPr>
    </w:p>
    <w:p w14:paraId="09D7B01F" w14:textId="77777777" w:rsidR="00B84CEF" w:rsidRPr="00B84CEF" w:rsidRDefault="00B84CEF" w:rsidP="00B84CEF">
      <w:pPr>
        <w:jc w:val="both"/>
        <w:rPr>
          <w:b/>
          <w:bCs/>
          <w:spacing w:val="20"/>
          <w:sz w:val="24"/>
          <w:szCs w:val="24"/>
        </w:rPr>
      </w:pPr>
      <w:r>
        <w:rPr>
          <w:b/>
          <w:bCs/>
          <w:spacing w:val="20"/>
          <w:sz w:val="24"/>
          <w:szCs w:val="24"/>
        </w:rPr>
        <w:t xml:space="preserve">PROJECT INFORMATION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8730"/>
      </w:tblGrid>
      <w:tr w:rsidR="00B84CEF" w14:paraId="5B46C7BD" w14:textId="77777777" w:rsidTr="00B84CEF">
        <w:tc>
          <w:tcPr>
            <w:tcW w:w="1795" w:type="dxa"/>
          </w:tcPr>
          <w:p w14:paraId="65966326" w14:textId="1FC90C69" w:rsidR="00B84CEF" w:rsidRDefault="00B84CEF" w:rsidP="00B84CEF">
            <w:pPr>
              <w:jc w:val="both"/>
            </w:pPr>
            <w:r>
              <w:t>RFP Number:</w:t>
            </w:r>
          </w:p>
        </w:tc>
        <w:tc>
          <w:tcPr>
            <w:tcW w:w="8730" w:type="dxa"/>
            <w:tcBorders>
              <w:bottom w:val="single" w:sz="4" w:space="0" w:color="auto"/>
            </w:tcBorders>
          </w:tcPr>
          <w:p w14:paraId="556693F3" w14:textId="08C6C8D5" w:rsidR="00B84CEF" w:rsidRPr="00490FF4" w:rsidRDefault="001F3C15" w:rsidP="00B84CEF">
            <w:pPr>
              <w:jc w:val="both"/>
            </w:pPr>
            <w:r>
              <w:t>#1263</w:t>
            </w:r>
          </w:p>
        </w:tc>
      </w:tr>
      <w:tr w:rsidR="00B84CEF" w14:paraId="31D7B0A5" w14:textId="77777777" w:rsidTr="00B84CEF">
        <w:tc>
          <w:tcPr>
            <w:tcW w:w="1795" w:type="dxa"/>
          </w:tcPr>
          <w:p w14:paraId="45697E2B" w14:textId="6A85B398" w:rsidR="00B84CEF" w:rsidRDefault="00B84CEF" w:rsidP="00B84CEF">
            <w:pPr>
              <w:jc w:val="both"/>
            </w:pPr>
            <w:r>
              <w:t>Project Name:</w:t>
            </w:r>
          </w:p>
        </w:tc>
        <w:tc>
          <w:tcPr>
            <w:tcW w:w="8730" w:type="dxa"/>
            <w:tcBorders>
              <w:top w:val="single" w:sz="4" w:space="0" w:color="auto"/>
              <w:bottom w:val="single" w:sz="4" w:space="0" w:color="auto"/>
            </w:tcBorders>
          </w:tcPr>
          <w:p w14:paraId="7B1A0FA9" w14:textId="0C69160A" w:rsidR="00B84CEF" w:rsidRPr="00490FF4" w:rsidRDefault="001F3C15" w:rsidP="00B84CEF">
            <w:pPr>
              <w:jc w:val="both"/>
            </w:pPr>
            <w:r>
              <w:t>Senior Community Service Employment Program</w:t>
            </w:r>
          </w:p>
        </w:tc>
      </w:tr>
    </w:tbl>
    <w:p w14:paraId="07FDC42E" w14:textId="77777777" w:rsidR="00B84CEF" w:rsidRDefault="00B84CEF" w:rsidP="00B84CEF">
      <w:pPr>
        <w:jc w:val="both"/>
      </w:pPr>
    </w:p>
    <w:p w14:paraId="70BF51C7" w14:textId="77777777" w:rsidR="00B84CEF" w:rsidRDefault="00B84CEF" w:rsidP="00B84CEF">
      <w:pPr>
        <w:jc w:val="both"/>
      </w:pPr>
    </w:p>
    <w:p w14:paraId="76B136E0" w14:textId="03D9331E" w:rsidR="00B84CEF" w:rsidRPr="00B84CEF" w:rsidRDefault="00B84CEF" w:rsidP="00B84CEF">
      <w:pPr>
        <w:jc w:val="both"/>
        <w:rPr>
          <w:b/>
          <w:bCs/>
          <w:spacing w:val="20"/>
          <w:sz w:val="24"/>
          <w:szCs w:val="24"/>
        </w:rPr>
      </w:pPr>
      <w:r>
        <w:rPr>
          <w:b/>
          <w:bCs/>
          <w:spacing w:val="20"/>
          <w:sz w:val="24"/>
          <w:szCs w:val="24"/>
        </w:rPr>
        <w:t>OFFEROR INFORMATION</w:t>
      </w: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7200"/>
      </w:tblGrid>
      <w:tr w:rsidR="008B2DA0" w14:paraId="3AD5878F" w14:textId="77777777" w:rsidTr="008B2DA0">
        <w:tc>
          <w:tcPr>
            <w:tcW w:w="3330" w:type="dxa"/>
          </w:tcPr>
          <w:p w14:paraId="6647A1B5" w14:textId="77777777" w:rsidR="008B2DA0" w:rsidRDefault="008B2DA0" w:rsidP="002C7643">
            <w:pPr>
              <w:jc w:val="both"/>
            </w:pPr>
            <w:r>
              <w:t>Company Name:</w:t>
            </w:r>
          </w:p>
        </w:tc>
        <w:tc>
          <w:tcPr>
            <w:tcW w:w="7200" w:type="dxa"/>
            <w:tcBorders>
              <w:bottom w:val="single" w:sz="4" w:space="0" w:color="auto"/>
            </w:tcBorders>
          </w:tcPr>
          <w:p w14:paraId="65139204" w14:textId="77777777" w:rsidR="008B2DA0" w:rsidRDefault="008B2DA0" w:rsidP="002C7643">
            <w:pPr>
              <w:jc w:val="both"/>
            </w:pPr>
          </w:p>
        </w:tc>
      </w:tr>
      <w:tr w:rsidR="00490FF4" w14:paraId="560EF8C0" w14:textId="77777777" w:rsidTr="008B2DA0">
        <w:tc>
          <w:tcPr>
            <w:tcW w:w="3330" w:type="dxa"/>
          </w:tcPr>
          <w:p w14:paraId="5F670EE1" w14:textId="1EB30713" w:rsidR="00490FF4" w:rsidRDefault="00490FF4" w:rsidP="002C7643">
            <w:pPr>
              <w:jc w:val="both"/>
            </w:pPr>
            <w:r>
              <w:t>Company Address:</w:t>
            </w:r>
          </w:p>
        </w:tc>
        <w:tc>
          <w:tcPr>
            <w:tcW w:w="7200" w:type="dxa"/>
            <w:tcBorders>
              <w:bottom w:val="single" w:sz="4" w:space="0" w:color="auto"/>
            </w:tcBorders>
          </w:tcPr>
          <w:p w14:paraId="0FB2B679" w14:textId="77777777" w:rsidR="00490FF4" w:rsidRDefault="00490FF4" w:rsidP="002C7643">
            <w:pPr>
              <w:jc w:val="both"/>
            </w:pPr>
          </w:p>
        </w:tc>
      </w:tr>
      <w:tr w:rsidR="008B2DA0" w14:paraId="2397D3F8" w14:textId="77777777" w:rsidTr="008B2DA0">
        <w:tc>
          <w:tcPr>
            <w:tcW w:w="3330" w:type="dxa"/>
          </w:tcPr>
          <w:p w14:paraId="4B1C5664" w14:textId="5D33C10E" w:rsidR="008B2DA0" w:rsidRDefault="008B2DA0" w:rsidP="002C7643">
            <w:pPr>
              <w:jc w:val="both"/>
            </w:pPr>
            <w:r>
              <w:t>Tax Identification Number (EIN):</w:t>
            </w:r>
          </w:p>
        </w:tc>
        <w:tc>
          <w:tcPr>
            <w:tcW w:w="7200" w:type="dxa"/>
            <w:tcBorders>
              <w:bottom w:val="single" w:sz="4" w:space="0" w:color="auto"/>
            </w:tcBorders>
          </w:tcPr>
          <w:p w14:paraId="192B0CD4" w14:textId="77777777" w:rsidR="008B2DA0" w:rsidRDefault="008B2DA0" w:rsidP="002C7643">
            <w:pPr>
              <w:jc w:val="both"/>
            </w:pPr>
          </w:p>
        </w:tc>
      </w:tr>
      <w:tr w:rsidR="00B84CEF" w14:paraId="26AF39F2" w14:textId="77777777" w:rsidTr="008B2DA0">
        <w:tc>
          <w:tcPr>
            <w:tcW w:w="3330" w:type="dxa"/>
          </w:tcPr>
          <w:p w14:paraId="3FCB8ADE" w14:textId="0393C89E" w:rsidR="00B84CEF" w:rsidRDefault="00EA4AD7" w:rsidP="002C7643">
            <w:pPr>
              <w:jc w:val="both"/>
            </w:pPr>
            <w:r>
              <w:t>UEI Number:</w:t>
            </w:r>
          </w:p>
        </w:tc>
        <w:tc>
          <w:tcPr>
            <w:tcW w:w="7200" w:type="dxa"/>
            <w:tcBorders>
              <w:bottom w:val="single" w:sz="4" w:space="0" w:color="auto"/>
            </w:tcBorders>
          </w:tcPr>
          <w:p w14:paraId="7E9B4B93" w14:textId="55EE191A" w:rsidR="00B84CEF" w:rsidRDefault="00B84CEF" w:rsidP="002C7643">
            <w:pPr>
              <w:jc w:val="both"/>
            </w:pPr>
          </w:p>
        </w:tc>
      </w:tr>
    </w:tbl>
    <w:p w14:paraId="2CCE3006" w14:textId="77777777" w:rsidR="008B2DA0" w:rsidRDefault="008B2DA0" w:rsidP="00B84CEF">
      <w:pPr>
        <w:jc w:val="both"/>
      </w:pPr>
    </w:p>
    <w:tbl>
      <w:tblPr>
        <w:tblStyle w:val="TableGrid"/>
        <w:tblW w:w="12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8910"/>
      </w:tblGrid>
      <w:tr w:rsidR="008B2DA0" w14:paraId="637AA6CF" w14:textId="77777777" w:rsidTr="008B2DA0">
        <w:tc>
          <w:tcPr>
            <w:tcW w:w="3240" w:type="dxa"/>
          </w:tcPr>
          <w:p w14:paraId="59C4BF7B" w14:textId="77777777" w:rsidR="008B2DA0" w:rsidRDefault="008B2DA0" w:rsidP="002C7643">
            <w:pPr>
              <w:jc w:val="both"/>
            </w:pPr>
            <w:r>
              <w:t>Legal Status:</w:t>
            </w:r>
          </w:p>
        </w:tc>
        <w:tc>
          <w:tcPr>
            <w:tcW w:w="8910" w:type="dxa"/>
          </w:tcPr>
          <w:p w14:paraId="3F06CA54" w14:textId="09644114" w:rsidR="008B2DA0" w:rsidRDefault="00595341" w:rsidP="002C7643">
            <w:pPr>
              <w:jc w:val="both"/>
            </w:pPr>
            <w:sdt>
              <w:sdtPr>
                <w:id w:val="-253670032"/>
                <w14:checkbox>
                  <w14:checked w14:val="0"/>
                  <w14:checkedState w14:val="2612" w14:font="MS Gothic"/>
                  <w14:uncheckedState w14:val="2610" w14:font="MS Gothic"/>
                </w14:checkbox>
              </w:sdtPr>
              <w:sdtEndPr/>
              <w:sdtContent>
                <w:r w:rsidR="00CA2210">
                  <w:rPr>
                    <w:rFonts w:ascii="MS Gothic" w:eastAsia="MS Gothic" w:hAnsi="MS Gothic" w:hint="eastAsia"/>
                  </w:rPr>
                  <w:t>☐</w:t>
                </w:r>
              </w:sdtContent>
            </w:sdt>
            <w:r w:rsidR="00CA2210">
              <w:t xml:space="preserve"> Corporation </w:t>
            </w:r>
          </w:p>
          <w:p w14:paraId="083DD9D8" w14:textId="5FF0D61B" w:rsidR="008B2DA0" w:rsidRDefault="00595341" w:rsidP="002C7643">
            <w:pPr>
              <w:jc w:val="both"/>
            </w:pPr>
            <w:sdt>
              <w:sdtPr>
                <w:id w:val="-2062006524"/>
                <w14:checkbox>
                  <w14:checked w14:val="0"/>
                  <w14:checkedState w14:val="2612" w14:font="MS Gothic"/>
                  <w14:uncheckedState w14:val="2610" w14:font="MS Gothic"/>
                </w14:checkbox>
              </w:sdtPr>
              <w:sdtEndPr/>
              <w:sdtContent>
                <w:r w:rsidR="00CA2210">
                  <w:rPr>
                    <w:rFonts w:ascii="MS Gothic" w:eastAsia="MS Gothic" w:hAnsi="MS Gothic" w:hint="eastAsia"/>
                  </w:rPr>
                  <w:t>☐</w:t>
                </w:r>
              </w:sdtContent>
            </w:sdt>
            <w:r w:rsidR="00CA2210">
              <w:t xml:space="preserve"> Limited Liability Company (LLC) </w:t>
            </w:r>
          </w:p>
          <w:p w14:paraId="6DC831BD" w14:textId="41C777D8" w:rsidR="008B2DA0" w:rsidRDefault="00595341" w:rsidP="002C7643">
            <w:pPr>
              <w:jc w:val="both"/>
            </w:pPr>
            <w:sdt>
              <w:sdtPr>
                <w:id w:val="-1929263141"/>
                <w14:checkbox>
                  <w14:checked w14:val="0"/>
                  <w14:checkedState w14:val="2612" w14:font="MS Gothic"/>
                  <w14:uncheckedState w14:val="2610" w14:font="MS Gothic"/>
                </w14:checkbox>
              </w:sdtPr>
              <w:sdtEndPr/>
              <w:sdtContent>
                <w:r w:rsidR="00CA2210">
                  <w:rPr>
                    <w:rFonts w:ascii="MS Gothic" w:eastAsia="MS Gothic" w:hAnsi="MS Gothic" w:hint="eastAsia"/>
                  </w:rPr>
                  <w:t>☐</w:t>
                </w:r>
              </w:sdtContent>
            </w:sdt>
            <w:r w:rsidR="00CA2210">
              <w:t xml:space="preserve"> Limited Liability Partnership     </w:t>
            </w:r>
          </w:p>
          <w:p w14:paraId="00DA710E" w14:textId="14896356" w:rsidR="008B2DA0" w:rsidRDefault="00595341" w:rsidP="002C7643">
            <w:pPr>
              <w:jc w:val="both"/>
            </w:pPr>
            <w:sdt>
              <w:sdtPr>
                <w:rPr>
                  <w:rFonts w:ascii="Segoe UI Symbol" w:hAnsi="Segoe UI Symbol" w:cs="Segoe UI Symbol"/>
                </w:rPr>
                <w:id w:val="898564622"/>
                <w14:checkbox>
                  <w14:checked w14:val="0"/>
                  <w14:checkedState w14:val="2612" w14:font="MS Gothic"/>
                  <w14:uncheckedState w14:val="2610" w14:font="MS Gothic"/>
                </w14:checkbox>
              </w:sdtPr>
              <w:sdtEndPr/>
              <w:sdtContent>
                <w:r w:rsidR="00CA2210">
                  <w:rPr>
                    <w:rFonts w:ascii="MS Gothic" w:eastAsia="MS Gothic" w:hAnsi="MS Gothic" w:cs="Segoe UI Symbol" w:hint="eastAsia"/>
                  </w:rPr>
                  <w:t>☐</w:t>
                </w:r>
              </w:sdtContent>
            </w:sdt>
            <w:r w:rsidR="00CA2210">
              <w:rPr>
                <w:rFonts w:ascii="Segoe UI Symbol" w:hAnsi="Segoe UI Symbol" w:cs="Segoe UI Symbol"/>
              </w:rPr>
              <w:t xml:space="preserve"> </w:t>
            </w:r>
            <w:r w:rsidR="00CA2210">
              <w:t xml:space="preserve">Sole Proprietorship </w:t>
            </w:r>
          </w:p>
          <w:p w14:paraId="572FE540" w14:textId="2A6665F2" w:rsidR="008B2DA0" w:rsidRDefault="00595341" w:rsidP="002C7643">
            <w:pPr>
              <w:jc w:val="both"/>
            </w:pPr>
            <w:sdt>
              <w:sdtPr>
                <w:id w:val="1285851467"/>
                <w14:checkbox>
                  <w14:checked w14:val="0"/>
                  <w14:checkedState w14:val="2612" w14:font="MS Gothic"/>
                  <w14:uncheckedState w14:val="2610" w14:font="MS Gothic"/>
                </w14:checkbox>
              </w:sdtPr>
              <w:sdtEndPr/>
              <w:sdtContent>
                <w:r w:rsidR="00CA2210">
                  <w:rPr>
                    <w:rFonts w:ascii="MS Gothic" w:eastAsia="MS Gothic" w:hAnsi="MS Gothic" w:hint="eastAsia"/>
                  </w:rPr>
                  <w:t>☐</w:t>
                </w:r>
              </w:sdtContent>
            </w:sdt>
            <w:r w:rsidR="00CA2210">
              <w:t xml:space="preserve"> Other (specify)</w:t>
            </w:r>
          </w:p>
        </w:tc>
      </w:tr>
    </w:tbl>
    <w:p w14:paraId="2DB565F6" w14:textId="77777777" w:rsidR="008B2DA0" w:rsidRDefault="008B2DA0" w:rsidP="00B84CEF">
      <w:pPr>
        <w:jc w:val="both"/>
      </w:pPr>
    </w:p>
    <w:p w14:paraId="0329BA86" w14:textId="77777777" w:rsidR="008B2DA0" w:rsidRDefault="008B2DA0" w:rsidP="00B84CEF">
      <w:pPr>
        <w:jc w:val="both"/>
      </w:pPr>
    </w:p>
    <w:p w14:paraId="1C01730F" w14:textId="3DCFD35F" w:rsidR="008B2DA0" w:rsidRPr="00B84CEF" w:rsidRDefault="008B2DA0" w:rsidP="008B2DA0">
      <w:pPr>
        <w:jc w:val="both"/>
        <w:rPr>
          <w:b/>
          <w:bCs/>
          <w:spacing w:val="20"/>
          <w:sz w:val="24"/>
          <w:szCs w:val="24"/>
        </w:rPr>
      </w:pPr>
      <w:r>
        <w:rPr>
          <w:b/>
          <w:bCs/>
          <w:spacing w:val="20"/>
          <w:sz w:val="24"/>
          <w:szCs w:val="24"/>
        </w:rPr>
        <w:t>CONTACT INFORMATION</w:t>
      </w:r>
    </w:p>
    <w:p w14:paraId="6FA689A1" w14:textId="7BAA810C" w:rsidR="00B84CEF" w:rsidRDefault="00B84CEF" w:rsidP="00B84CEF">
      <w:pPr>
        <w:jc w:val="both"/>
      </w:pPr>
      <w:r>
        <w:t>Individual responsible for preparing this Proposal, and who can be contacted for clarification on this Proposal</w:t>
      </w:r>
    </w:p>
    <w:p w14:paraId="5C765928" w14:textId="77777777" w:rsidR="0029566A" w:rsidRPr="008B2DA0" w:rsidRDefault="0029566A" w:rsidP="00B84CEF">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8730"/>
      </w:tblGrid>
      <w:tr w:rsidR="00B84CEF" w14:paraId="186CD537" w14:textId="77777777" w:rsidTr="002C7643">
        <w:tc>
          <w:tcPr>
            <w:tcW w:w="1795" w:type="dxa"/>
          </w:tcPr>
          <w:p w14:paraId="5CB93C82" w14:textId="2A61BDEF" w:rsidR="00B84CEF" w:rsidRDefault="00B84CEF" w:rsidP="00B84CEF">
            <w:pPr>
              <w:jc w:val="right"/>
            </w:pPr>
            <w:r>
              <w:t>Contact Name:</w:t>
            </w:r>
          </w:p>
        </w:tc>
        <w:tc>
          <w:tcPr>
            <w:tcW w:w="8730" w:type="dxa"/>
            <w:tcBorders>
              <w:bottom w:val="single" w:sz="4" w:space="0" w:color="auto"/>
            </w:tcBorders>
          </w:tcPr>
          <w:p w14:paraId="495336DF" w14:textId="77777777" w:rsidR="00B84CEF" w:rsidRDefault="00B84CEF" w:rsidP="002C7643">
            <w:pPr>
              <w:jc w:val="both"/>
            </w:pPr>
          </w:p>
        </w:tc>
      </w:tr>
      <w:tr w:rsidR="00B84CEF" w14:paraId="3AF4F4F5" w14:textId="77777777" w:rsidTr="002C7643">
        <w:tc>
          <w:tcPr>
            <w:tcW w:w="1795" w:type="dxa"/>
          </w:tcPr>
          <w:p w14:paraId="223C6E68" w14:textId="5518F46D" w:rsidR="00B84CEF" w:rsidRDefault="00B84CEF" w:rsidP="00B84CEF">
            <w:pPr>
              <w:jc w:val="right"/>
            </w:pPr>
            <w:r>
              <w:t>Title:</w:t>
            </w:r>
          </w:p>
        </w:tc>
        <w:tc>
          <w:tcPr>
            <w:tcW w:w="8730" w:type="dxa"/>
            <w:tcBorders>
              <w:bottom w:val="single" w:sz="4" w:space="0" w:color="auto"/>
            </w:tcBorders>
          </w:tcPr>
          <w:p w14:paraId="036453F1" w14:textId="77777777" w:rsidR="00B84CEF" w:rsidRDefault="00B84CEF" w:rsidP="002C7643">
            <w:pPr>
              <w:jc w:val="both"/>
            </w:pPr>
          </w:p>
        </w:tc>
      </w:tr>
      <w:tr w:rsidR="00B84CEF" w14:paraId="1947B36D" w14:textId="77777777" w:rsidTr="002C7643">
        <w:tc>
          <w:tcPr>
            <w:tcW w:w="1795" w:type="dxa"/>
          </w:tcPr>
          <w:p w14:paraId="62661B84" w14:textId="02C03206" w:rsidR="00B84CEF" w:rsidRDefault="00B84CEF" w:rsidP="00B84CEF">
            <w:pPr>
              <w:jc w:val="right"/>
            </w:pPr>
            <w:r>
              <w:t>Email:</w:t>
            </w:r>
          </w:p>
        </w:tc>
        <w:tc>
          <w:tcPr>
            <w:tcW w:w="8730" w:type="dxa"/>
            <w:tcBorders>
              <w:bottom w:val="single" w:sz="4" w:space="0" w:color="auto"/>
            </w:tcBorders>
          </w:tcPr>
          <w:p w14:paraId="023A7FDB" w14:textId="77777777" w:rsidR="00B84CEF" w:rsidRDefault="00B84CEF" w:rsidP="002C7643">
            <w:pPr>
              <w:jc w:val="both"/>
            </w:pPr>
          </w:p>
        </w:tc>
      </w:tr>
      <w:tr w:rsidR="00B84CEF" w14:paraId="3407A2E5" w14:textId="77777777" w:rsidTr="002C7643">
        <w:tc>
          <w:tcPr>
            <w:tcW w:w="1795" w:type="dxa"/>
          </w:tcPr>
          <w:p w14:paraId="6EBB1F49" w14:textId="1627966D" w:rsidR="00B84CEF" w:rsidRDefault="00B84CEF" w:rsidP="00B84CEF">
            <w:pPr>
              <w:jc w:val="right"/>
            </w:pPr>
            <w:r>
              <w:t>Telephone:</w:t>
            </w:r>
          </w:p>
        </w:tc>
        <w:tc>
          <w:tcPr>
            <w:tcW w:w="8730" w:type="dxa"/>
            <w:tcBorders>
              <w:bottom w:val="single" w:sz="4" w:space="0" w:color="auto"/>
            </w:tcBorders>
          </w:tcPr>
          <w:p w14:paraId="1BAC1754" w14:textId="77777777" w:rsidR="00B84CEF" w:rsidRDefault="00B84CEF" w:rsidP="002C7643">
            <w:pPr>
              <w:jc w:val="both"/>
            </w:pPr>
          </w:p>
        </w:tc>
      </w:tr>
    </w:tbl>
    <w:p w14:paraId="3CC59648" w14:textId="77777777" w:rsidR="00B84CEF" w:rsidRDefault="00B84CEF" w:rsidP="00B84CEF">
      <w:pPr>
        <w:jc w:val="both"/>
      </w:pPr>
    </w:p>
    <w:p w14:paraId="0BB60FEE" w14:textId="77777777" w:rsidR="00B84CEF" w:rsidRDefault="00B84CEF" w:rsidP="00B84CEF">
      <w:pPr>
        <w:jc w:val="both"/>
      </w:pPr>
    </w:p>
    <w:p w14:paraId="628DC2D9" w14:textId="2472076B" w:rsidR="00B84CEF" w:rsidRPr="00B84CEF" w:rsidRDefault="007645EB" w:rsidP="00B84CEF">
      <w:pPr>
        <w:jc w:val="both"/>
        <w:rPr>
          <w:b/>
          <w:bCs/>
          <w:spacing w:val="20"/>
          <w:sz w:val="24"/>
          <w:szCs w:val="24"/>
        </w:rPr>
      </w:pPr>
      <w:r>
        <w:rPr>
          <w:b/>
          <w:bCs/>
          <w:spacing w:val="20"/>
          <w:sz w:val="24"/>
          <w:szCs w:val="24"/>
        </w:rPr>
        <w:t>AMENDMENT ACKNOWLEDGEMENT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9810"/>
      </w:tblGrid>
      <w:tr w:rsidR="001D69BB" w14:paraId="7FC4466A" w14:textId="77777777" w:rsidTr="001D69BB">
        <w:tc>
          <w:tcPr>
            <w:tcW w:w="805" w:type="dxa"/>
            <w:vAlign w:val="center"/>
          </w:tcPr>
          <w:p w14:paraId="144D45A5" w14:textId="521A21AA" w:rsidR="001D69BB" w:rsidRDefault="001D69BB" w:rsidP="001D69BB">
            <w:pPr>
              <w:jc w:val="center"/>
            </w:pPr>
            <w:r>
              <w:sym w:font="Wingdings 2" w:char="F0A3"/>
            </w:r>
          </w:p>
        </w:tc>
        <w:tc>
          <w:tcPr>
            <w:tcW w:w="9810" w:type="dxa"/>
            <w:vAlign w:val="center"/>
          </w:tcPr>
          <w:p w14:paraId="73758D8D" w14:textId="6A8BA488" w:rsidR="001D69BB" w:rsidRDefault="001D69BB" w:rsidP="00B84CEF">
            <w:pPr>
              <w:jc w:val="both"/>
            </w:pPr>
            <w:r>
              <w:t>By checking this box, the Offeror acknowledges receipt of all amendments, and has incorporated all amendments into their Proposal.</w:t>
            </w:r>
          </w:p>
        </w:tc>
      </w:tr>
    </w:tbl>
    <w:p w14:paraId="01C905DF" w14:textId="68600556" w:rsidR="00B84CEF" w:rsidRDefault="00B84CEF" w:rsidP="00B84CEF">
      <w:pPr>
        <w:jc w:val="both"/>
      </w:pPr>
      <w:r>
        <w:tab/>
      </w:r>
      <w:r>
        <w:tab/>
      </w:r>
    </w:p>
    <w:p w14:paraId="726F8A4B" w14:textId="77777777" w:rsidR="0029566A" w:rsidRDefault="0029566A" w:rsidP="0029566A">
      <w:pPr>
        <w:jc w:val="both"/>
      </w:pPr>
    </w:p>
    <w:p w14:paraId="3C1941B4" w14:textId="77777777" w:rsidR="0029566A" w:rsidRPr="00B84CEF" w:rsidRDefault="0029566A" w:rsidP="0029566A">
      <w:pPr>
        <w:jc w:val="both"/>
        <w:rPr>
          <w:b/>
          <w:bCs/>
          <w:spacing w:val="20"/>
          <w:sz w:val="24"/>
          <w:szCs w:val="24"/>
        </w:rPr>
      </w:pPr>
      <w:r>
        <w:rPr>
          <w:b/>
          <w:bCs/>
          <w:spacing w:val="20"/>
          <w:sz w:val="24"/>
          <w:szCs w:val="24"/>
        </w:rPr>
        <w:t xml:space="preserve">CONFLICT OF INTEREST </w:t>
      </w:r>
    </w:p>
    <w:p w14:paraId="2FFA63F1" w14:textId="313B888A" w:rsidR="0029566A" w:rsidRDefault="0029566A" w:rsidP="0029566A">
      <w:pPr>
        <w:jc w:val="both"/>
      </w:pPr>
      <w:r>
        <w:t>The Offeror must select an option below:</w:t>
      </w:r>
    </w:p>
    <w:p w14:paraId="48EC7C3C" w14:textId="77777777" w:rsidR="009A717B" w:rsidRDefault="009A717B" w:rsidP="0029566A">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9810"/>
      </w:tblGrid>
      <w:tr w:rsidR="0029566A" w14:paraId="157D2380" w14:textId="77777777" w:rsidTr="009A717B">
        <w:sdt>
          <w:sdtPr>
            <w:id w:val="-355818769"/>
            <w14:checkbox>
              <w14:checked w14:val="0"/>
              <w14:checkedState w14:val="2612" w14:font="MS Gothic"/>
              <w14:uncheckedState w14:val="2610" w14:font="MS Gothic"/>
            </w14:checkbox>
          </w:sdtPr>
          <w:sdtEndPr/>
          <w:sdtContent>
            <w:tc>
              <w:tcPr>
                <w:tcW w:w="805" w:type="dxa"/>
                <w:vAlign w:val="center"/>
              </w:tcPr>
              <w:p w14:paraId="33D8EE51" w14:textId="0D79DFE8" w:rsidR="0029566A" w:rsidRDefault="009A717B" w:rsidP="009A717B">
                <w:pPr>
                  <w:jc w:val="center"/>
                </w:pPr>
                <w:r>
                  <w:rPr>
                    <w:rFonts w:ascii="MS Gothic" w:eastAsia="MS Gothic" w:hAnsi="MS Gothic" w:hint="eastAsia"/>
                  </w:rPr>
                  <w:t>☐</w:t>
                </w:r>
              </w:p>
            </w:tc>
          </w:sdtContent>
        </w:sdt>
        <w:tc>
          <w:tcPr>
            <w:tcW w:w="9810" w:type="dxa"/>
            <w:vAlign w:val="center"/>
          </w:tcPr>
          <w:p w14:paraId="243B6422" w14:textId="05E98D68" w:rsidR="009A717B" w:rsidRDefault="0029566A" w:rsidP="009A717B">
            <w:pPr>
              <w:jc w:val="both"/>
            </w:pPr>
            <w:r>
              <w:t>The Offeror declares that there is no potential, perceived, or actual conflicts of interest that may arise as a result of their response to this RFP and/or subsequent award of Contract.</w:t>
            </w:r>
          </w:p>
        </w:tc>
      </w:tr>
      <w:tr w:rsidR="0029566A" w14:paraId="4FD3D4D3" w14:textId="77777777" w:rsidTr="009A717B">
        <w:tc>
          <w:tcPr>
            <w:tcW w:w="805" w:type="dxa"/>
            <w:vAlign w:val="center"/>
          </w:tcPr>
          <w:p w14:paraId="0A20B223" w14:textId="77777777" w:rsidR="009A717B" w:rsidRDefault="009A717B" w:rsidP="009A717B">
            <w:pPr>
              <w:jc w:val="center"/>
            </w:pPr>
          </w:p>
          <w:sdt>
            <w:sdtPr>
              <w:id w:val="226654311"/>
              <w14:checkbox>
                <w14:checked w14:val="0"/>
                <w14:checkedState w14:val="2612" w14:font="MS Gothic"/>
                <w14:uncheckedState w14:val="2610" w14:font="MS Gothic"/>
              </w14:checkbox>
            </w:sdtPr>
            <w:sdtEndPr/>
            <w:sdtContent>
              <w:p w14:paraId="7CC7B359" w14:textId="2FF6A3B7" w:rsidR="0029566A" w:rsidRDefault="009A717B" w:rsidP="009A717B">
                <w:pPr>
                  <w:jc w:val="center"/>
                </w:pPr>
                <w:r>
                  <w:rPr>
                    <w:rFonts w:ascii="MS Gothic" w:eastAsia="MS Gothic" w:hAnsi="MS Gothic" w:hint="eastAsia"/>
                  </w:rPr>
                  <w:t>☐</w:t>
                </w:r>
              </w:p>
            </w:sdtContent>
          </w:sdt>
        </w:tc>
        <w:tc>
          <w:tcPr>
            <w:tcW w:w="9810" w:type="dxa"/>
            <w:vAlign w:val="center"/>
          </w:tcPr>
          <w:p w14:paraId="69A686ED" w14:textId="77777777" w:rsidR="009A717B" w:rsidRDefault="009A717B" w:rsidP="002C7643">
            <w:pPr>
              <w:jc w:val="both"/>
            </w:pPr>
          </w:p>
          <w:p w14:paraId="143852F9" w14:textId="6F25234C" w:rsidR="0029566A" w:rsidRDefault="0029566A" w:rsidP="002C7643">
            <w:pPr>
              <w:jc w:val="both"/>
            </w:pPr>
            <w:r>
              <w:t xml:space="preserve">The Offeror declares that there are potential, perceived, or actual conflicts of interest that may arise as a result of their response to this RFP and/or subsequent award of Contract.  The Offeror must attach additional information to explain the conflicts. </w:t>
            </w:r>
          </w:p>
        </w:tc>
      </w:tr>
    </w:tbl>
    <w:p w14:paraId="0C988F9A" w14:textId="77777777" w:rsidR="0029566A" w:rsidRDefault="0029566A" w:rsidP="0029566A">
      <w:pPr>
        <w:jc w:val="both"/>
      </w:pPr>
    </w:p>
    <w:p w14:paraId="5E37468B" w14:textId="099A3DE8" w:rsidR="008B2DA0" w:rsidRPr="00B84CEF" w:rsidRDefault="008B2DA0" w:rsidP="008B2DA0">
      <w:pPr>
        <w:jc w:val="both"/>
        <w:rPr>
          <w:b/>
          <w:bCs/>
          <w:spacing w:val="20"/>
          <w:sz w:val="24"/>
          <w:szCs w:val="24"/>
        </w:rPr>
      </w:pPr>
      <w:r>
        <w:rPr>
          <w:b/>
          <w:bCs/>
          <w:spacing w:val="20"/>
          <w:sz w:val="24"/>
          <w:szCs w:val="24"/>
        </w:rPr>
        <w:lastRenderedPageBreak/>
        <w:t>CERTIFICATIONS</w:t>
      </w:r>
    </w:p>
    <w:p w14:paraId="34934D25" w14:textId="77777777" w:rsidR="008B2DA0" w:rsidRDefault="008B2DA0" w:rsidP="00B84CEF">
      <w:pPr>
        <w:jc w:val="both"/>
      </w:pPr>
    </w:p>
    <w:tbl>
      <w:tblPr>
        <w:tblStyle w:val="TableGrid"/>
        <w:tblW w:w="10629" w:type="dxa"/>
        <w:tblLook w:val="04A0" w:firstRow="1" w:lastRow="0" w:firstColumn="1" w:lastColumn="0" w:noHBand="0" w:noVBand="1"/>
      </w:tblPr>
      <w:tblGrid>
        <w:gridCol w:w="8905"/>
        <w:gridCol w:w="1724"/>
      </w:tblGrid>
      <w:tr w:rsidR="008B2DA0" w:rsidRPr="00112D36" w14:paraId="62508A82" w14:textId="77777777" w:rsidTr="00112D36">
        <w:tc>
          <w:tcPr>
            <w:tcW w:w="8905" w:type="dxa"/>
            <w:shd w:val="clear" w:color="auto" w:fill="F2F2F2" w:themeFill="background1" w:themeFillShade="F2"/>
          </w:tcPr>
          <w:p w14:paraId="3F604A8C" w14:textId="2F2D128B" w:rsidR="008B2DA0" w:rsidRPr="00112D36" w:rsidRDefault="00112D36" w:rsidP="00112D36">
            <w:pPr>
              <w:jc w:val="center"/>
              <w:rPr>
                <w:b/>
                <w:bCs/>
              </w:rPr>
            </w:pPr>
            <w:r>
              <w:rPr>
                <w:b/>
                <w:bCs/>
              </w:rPr>
              <w:t>QUESTION</w:t>
            </w:r>
          </w:p>
        </w:tc>
        <w:tc>
          <w:tcPr>
            <w:tcW w:w="1724" w:type="dxa"/>
            <w:shd w:val="clear" w:color="auto" w:fill="F2F2F2" w:themeFill="background1" w:themeFillShade="F2"/>
          </w:tcPr>
          <w:p w14:paraId="6C18B127" w14:textId="7D7DF5A0" w:rsidR="008B2DA0" w:rsidRPr="00112D36" w:rsidRDefault="008B2DA0" w:rsidP="00112D36">
            <w:pPr>
              <w:jc w:val="center"/>
              <w:rPr>
                <w:b/>
                <w:bCs/>
              </w:rPr>
            </w:pPr>
            <w:r>
              <w:rPr>
                <w:b/>
                <w:bCs/>
              </w:rPr>
              <w:t>RESPONSE*</w:t>
            </w:r>
          </w:p>
        </w:tc>
      </w:tr>
      <w:tr w:rsidR="008B2DA0" w14:paraId="49ADC44C" w14:textId="77777777" w:rsidTr="008B2DA0">
        <w:tc>
          <w:tcPr>
            <w:tcW w:w="8905" w:type="dxa"/>
          </w:tcPr>
          <w:p w14:paraId="06134196" w14:textId="77777777" w:rsidR="008B2DA0" w:rsidRPr="008B2DA0" w:rsidRDefault="008B2DA0" w:rsidP="00007DE4">
            <w:pPr>
              <w:pStyle w:val="ListParagraph"/>
              <w:numPr>
                <w:ilvl w:val="0"/>
                <w:numId w:val="10"/>
              </w:numPr>
              <w:jc w:val="both"/>
            </w:pPr>
            <w:r>
              <w:t>Is Offeror a legal entity with the legal right to contract?</w:t>
            </w:r>
          </w:p>
          <w:p w14:paraId="46DE7617" w14:textId="77777777" w:rsidR="008B2DA0" w:rsidRDefault="008B2DA0" w:rsidP="00B84CEF">
            <w:pPr>
              <w:jc w:val="both"/>
            </w:pPr>
          </w:p>
        </w:tc>
        <w:tc>
          <w:tcPr>
            <w:tcW w:w="1724" w:type="dxa"/>
          </w:tcPr>
          <w:p w14:paraId="5F653A87" w14:textId="6EC71AA2" w:rsidR="008B2DA0" w:rsidRDefault="00595341" w:rsidP="008B2DA0">
            <w:pPr>
              <w:jc w:val="center"/>
            </w:pPr>
            <w:sdt>
              <w:sdtPr>
                <w:id w:val="408974652"/>
                <w14:checkbox>
                  <w14:checked w14:val="0"/>
                  <w14:checkedState w14:val="2612" w14:font="MS Gothic"/>
                  <w14:uncheckedState w14:val="2610" w14:font="MS Gothic"/>
                </w14:checkbox>
              </w:sdtPr>
              <w:sdtEndPr/>
              <w:sdtContent>
                <w:r w:rsidR="00CA2210">
                  <w:rPr>
                    <w:rFonts w:ascii="MS Gothic" w:eastAsia="MS Gothic" w:hAnsi="MS Gothic" w:hint="eastAsia"/>
                  </w:rPr>
                  <w:t>☐</w:t>
                </w:r>
              </w:sdtContent>
            </w:sdt>
            <w:r w:rsidR="00CA2210">
              <w:t xml:space="preserve"> Yes  </w:t>
            </w:r>
            <w:sdt>
              <w:sdtPr>
                <w:id w:val="547339475"/>
                <w14:checkbox>
                  <w14:checked w14:val="0"/>
                  <w14:checkedState w14:val="2612" w14:font="MS Gothic"/>
                  <w14:uncheckedState w14:val="2610" w14:font="MS Gothic"/>
                </w14:checkbox>
              </w:sdtPr>
              <w:sdtEndPr/>
              <w:sdtContent>
                <w:r w:rsidR="00CA2210">
                  <w:rPr>
                    <w:rFonts w:ascii="MS Gothic" w:eastAsia="MS Gothic" w:hAnsi="MS Gothic" w:hint="eastAsia"/>
                  </w:rPr>
                  <w:t>☐</w:t>
                </w:r>
              </w:sdtContent>
            </w:sdt>
            <w:r w:rsidR="00CA2210">
              <w:t xml:space="preserve"> No</w:t>
            </w:r>
          </w:p>
        </w:tc>
      </w:tr>
      <w:tr w:rsidR="008B2DA0" w14:paraId="17AB02A8" w14:textId="77777777" w:rsidTr="008B2DA0">
        <w:tc>
          <w:tcPr>
            <w:tcW w:w="8905" w:type="dxa"/>
          </w:tcPr>
          <w:p w14:paraId="3A860D1B" w14:textId="77777777" w:rsidR="008B2DA0" w:rsidRPr="008B2DA0" w:rsidRDefault="008B2DA0" w:rsidP="00007DE4">
            <w:pPr>
              <w:pStyle w:val="ListParagraph"/>
              <w:numPr>
                <w:ilvl w:val="0"/>
                <w:numId w:val="10"/>
              </w:numPr>
              <w:jc w:val="both"/>
            </w:pPr>
            <w:r>
              <w:t>Is Offeror in compliance with applicable equal employment regulations?</w:t>
            </w:r>
          </w:p>
          <w:p w14:paraId="6B9B52BE" w14:textId="77777777" w:rsidR="008B2DA0" w:rsidRDefault="008B2DA0" w:rsidP="00B84CEF">
            <w:pPr>
              <w:jc w:val="both"/>
            </w:pPr>
          </w:p>
        </w:tc>
        <w:tc>
          <w:tcPr>
            <w:tcW w:w="1724" w:type="dxa"/>
          </w:tcPr>
          <w:p w14:paraId="40C23B6F" w14:textId="6564D01D" w:rsidR="008B2DA0" w:rsidRDefault="00595341" w:rsidP="008B2DA0">
            <w:pPr>
              <w:jc w:val="center"/>
            </w:pPr>
            <w:sdt>
              <w:sdtPr>
                <w:id w:val="1684469443"/>
                <w14:checkbox>
                  <w14:checked w14:val="0"/>
                  <w14:checkedState w14:val="2612" w14:font="MS Gothic"/>
                  <w14:uncheckedState w14:val="2610" w14:font="MS Gothic"/>
                </w14:checkbox>
              </w:sdtPr>
              <w:sdtEndPr/>
              <w:sdtContent>
                <w:r w:rsidR="00CA2210">
                  <w:rPr>
                    <w:rFonts w:ascii="MS Gothic" w:eastAsia="MS Gothic" w:hAnsi="MS Gothic" w:hint="eastAsia"/>
                  </w:rPr>
                  <w:t>☐</w:t>
                </w:r>
              </w:sdtContent>
            </w:sdt>
            <w:r w:rsidR="00CA2210">
              <w:t xml:space="preserve"> Yes  </w:t>
            </w:r>
            <w:sdt>
              <w:sdtPr>
                <w:id w:val="-8374351"/>
                <w14:checkbox>
                  <w14:checked w14:val="0"/>
                  <w14:checkedState w14:val="2612" w14:font="MS Gothic"/>
                  <w14:uncheckedState w14:val="2610" w14:font="MS Gothic"/>
                </w14:checkbox>
              </w:sdtPr>
              <w:sdtEndPr/>
              <w:sdtContent>
                <w:r w:rsidR="00CA2210">
                  <w:rPr>
                    <w:rFonts w:ascii="MS Gothic" w:eastAsia="MS Gothic" w:hAnsi="MS Gothic" w:hint="eastAsia"/>
                  </w:rPr>
                  <w:t>☐</w:t>
                </w:r>
              </w:sdtContent>
            </w:sdt>
            <w:r w:rsidR="00CA2210">
              <w:t xml:space="preserve"> No</w:t>
            </w:r>
          </w:p>
        </w:tc>
      </w:tr>
      <w:tr w:rsidR="008B2DA0" w14:paraId="0650C0AE" w14:textId="77777777" w:rsidTr="008B2DA0">
        <w:tc>
          <w:tcPr>
            <w:tcW w:w="8905" w:type="dxa"/>
          </w:tcPr>
          <w:p w14:paraId="1558E9D0" w14:textId="7BD2C471" w:rsidR="008B2DA0" w:rsidRPr="008B2DA0" w:rsidRDefault="008B2DA0" w:rsidP="00007DE4">
            <w:pPr>
              <w:pStyle w:val="ListParagraph"/>
              <w:numPr>
                <w:ilvl w:val="0"/>
                <w:numId w:val="10"/>
              </w:numPr>
              <w:jc w:val="both"/>
            </w:pPr>
            <w:r>
              <w:t xml:space="preserve">Does Offeror affirm that it is not currently suspended, debarred, or otherwise excluded from federal or state procurement and non-procurement programs? Note: vendor information is available at </w:t>
            </w:r>
            <w:hyperlink r:id="rId28" w:history="1">
              <w:r>
                <w:rPr>
                  <w:rStyle w:val="Hyperlink"/>
                </w:rPr>
                <w:t>https://sam.gov</w:t>
              </w:r>
            </w:hyperlink>
          </w:p>
          <w:p w14:paraId="0D99A5ED" w14:textId="77777777" w:rsidR="008B2DA0" w:rsidRDefault="008B2DA0" w:rsidP="00B84CEF">
            <w:pPr>
              <w:jc w:val="both"/>
            </w:pPr>
          </w:p>
        </w:tc>
        <w:tc>
          <w:tcPr>
            <w:tcW w:w="1724" w:type="dxa"/>
          </w:tcPr>
          <w:p w14:paraId="5A7F3D8D" w14:textId="7D165642" w:rsidR="008B2DA0" w:rsidRDefault="00595341" w:rsidP="008B2DA0">
            <w:pPr>
              <w:jc w:val="center"/>
            </w:pPr>
            <w:sdt>
              <w:sdtPr>
                <w:id w:val="-713809189"/>
                <w14:checkbox>
                  <w14:checked w14:val="0"/>
                  <w14:checkedState w14:val="2612" w14:font="MS Gothic"/>
                  <w14:uncheckedState w14:val="2610" w14:font="MS Gothic"/>
                </w14:checkbox>
              </w:sdtPr>
              <w:sdtEndPr/>
              <w:sdtContent>
                <w:r w:rsidR="00CA2210">
                  <w:rPr>
                    <w:rFonts w:ascii="MS Gothic" w:eastAsia="MS Gothic" w:hAnsi="MS Gothic" w:hint="eastAsia"/>
                  </w:rPr>
                  <w:t>☐</w:t>
                </w:r>
              </w:sdtContent>
            </w:sdt>
            <w:r w:rsidR="00CA2210">
              <w:t xml:space="preserve"> Yes  </w:t>
            </w:r>
            <w:sdt>
              <w:sdtPr>
                <w:id w:val="1982350222"/>
                <w14:checkbox>
                  <w14:checked w14:val="0"/>
                  <w14:checkedState w14:val="2612" w14:font="MS Gothic"/>
                  <w14:uncheckedState w14:val="2610" w14:font="MS Gothic"/>
                </w14:checkbox>
              </w:sdtPr>
              <w:sdtEndPr/>
              <w:sdtContent>
                <w:r w:rsidR="00CA2210">
                  <w:rPr>
                    <w:rFonts w:ascii="MS Gothic" w:eastAsia="MS Gothic" w:hAnsi="MS Gothic" w:hint="eastAsia"/>
                  </w:rPr>
                  <w:t>☐</w:t>
                </w:r>
              </w:sdtContent>
            </w:sdt>
            <w:r w:rsidR="00CA2210">
              <w:t xml:space="preserve"> No</w:t>
            </w:r>
          </w:p>
        </w:tc>
      </w:tr>
      <w:tr w:rsidR="008B2DA0" w14:paraId="38D59F79" w14:textId="77777777" w:rsidTr="008B2DA0">
        <w:tc>
          <w:tcPr>
            <w:tcW w:w="8905" w:type="dxa"/>
          </w:tcPr>
          <w:p w14:paraId="72332AFF" w14:textId="77777777" w:rsidR="008B2DA0" w:rsidRPr="008B2DA0" w:rsidRDefault="008B2DA0" w:rsidP="00007DE4">
            <w:pPr>
              <w:pStyle w:val="ListParagraph"/>
              <w:numPr>
                <w:ilvl w:val="0"/>
                <w:numId w:val="10"/>
              </w:numPr>
              <w:jc w:val="both"/>
            </w:pPr>
            <w:r>
              <w:t>Does the Offeror affirm that the Proposal will be firm and binding for ninety (90) calendar days from the Proposal opening date?</w:t>
            </w:r>
          </w:p>
          <w:p w14:paraId="182FD898" w14:textId="77777777" w:rsidR="008B2DA0" w:rsidRDefault="008B2DA0" w:rsidP="002C7643">
            <w:pPr>
              <w:jc w:val="both"/>
            </w:pPr>
          </w:p>
        </w:tc>
        <w:tc>
          <w:tcPr>
            <w:tcW w:w="1724" w:type="dxa"/>
          </w:tcPr>
          <w:p w14:paraId="7E94F22B" w14:textId="4B2379E6" w:rsidR="008B2DA0" w:rsidRDefault="00595341" w:rsidP="008B2DA0">
            <w:pPr>
              <w:jc w:val="center"/>
            </w:pPr>
            <w:sdt>
              <w:sdtPr>
                <w:id w:val="1808580949"/>
                <w14:checkbox>
                  <w14:checked w14:val="0"/>
                  <w14:checkedState w14:val="2612" w14:font="MS Gothic"/>
                  <w14:uncheckedState w14:val="2610" w14:font="MS Gothic"/>
                </w14:checkbox>
              </w:sdtPr>
              <w:sdtEndPr/>
              <w:sdtContent>
                <w:r w:rsidR="00CA2210">
                  <w:rPr>
                    <w:rFonts w:ascii="MS Gothic" w:eastAsia="MS Gothic" w:hAnsi="MS Gothic" w:hint="eastAsia"/>
                  </w:rPr>
                  <w:t>☐</w:t>
                </w:r>
              </w:sdtContent>
            </w:sdt>
            <w:r w:rsidR="00CA2210">
              <w:t xml:space="preserve"> Yes  </w:t>
            </w:r>
            <w:sdt>
              <w:sdtPr>
                <w:id w:val="1136299991"/>
                <w14:checkbox>
                  <w14:checked w14:val="0"/>
                  <w14:checkedState w14:val="2612" w14:font="MS Gothic"/>
                  <w14:uncheckedState w14:val="2610" w14:font="MS Gothic"/>
                </w14:checkbox>
              </w:sdtPr>
              <w:sdtEndPr/>
              <w:sdtContent>
                <w:r w:rsidR="00CA2210">
                  <w:rPr>
                    <w:rFonts w:ascii="MS Gothic" w:eastAsia="MS Gothic" w:hAnsi="MS Gothic" w:hint="eastAsia"/>
                  </w:rPr>
                  <w:t>☐</w:t>
                </w:r>
              </w:sdtContent>
            </w:sdt>
            <w:r w:rsidR="00CA2210">
              <w:t xml:space="preserve"> No</w:t>
            </w:r>
          </w:p>
        </w:tc>
      </w:tr>
      <w:tr w:rsidR="008B2DA0" w14:paraId="251BD1CA" w14:textId="77777777" w:rsidTr="008B2DA0">
        <w:tc>
          <w:tcPr>
            <w:tcW w:w="8905" w:type="dxa"/>
          </w:tcPr>
          <w:p w14:paraId="7653B786" w14:textId="211FCC25" w:rsidR="008B2DA0" w:rsidRPr="008B2DA0" w:rsidRDefault="008B2DA0" w:rsidP="00007DE4">
            <w:pPr>
              <w:pStyle w:val="ListParagraph"/>
              <w:numPr>
                <w:ilvl w:val="0"/>
                <w:numId w:val="10"/>
              </w:numPr>
              <w:jc w:val="both"/>
            </w:pPr>
            <w:r>
              <w:t>Does Offeror warrant that it does not knowingly and willfully employ persons who cannot legally work in this country; and that Offeror takes steps to verify that it does not hire persons who have entered our nation illegally or cannot legally work in the United States; and that any misrepresentation in this regard or any employment of persons who have entered our nation illegally or cannot legally work in the United States constitutes a material breach and will be cause for the imposition of monetary penalties up to five percent (5%) of the Contract price, per violation, and/or termination of the Contract?</w:t>
            </w:r>
          </w:p>
        </w:tc>
        <w:tc>
          <w:tcPr>
            <w:tcW w:w="1724" w:type="dxa"/>
          </w:tcPr>
          <w:p w14:paraId="04B49654" w14:textId="7C052988" w:rsidR="008B2DA0" w:rsidRDefault="00595341" w:rsidP="008B2DA0">
            <w:pPr>
              <w:jc w:val="center"/>
            </w:pPr>
            <w:sdt>
              <w:sdtPr>
                <w:id w:val="-358583287"/>
                <w14:checkbox>
                  <w14:checked w14:val="0"/>
                  <w14:checkedState w14:val="2612" w14:font="MS Gothic"/>
                  <w14:uncheckedState w14:val="2610" w14:font="MS Gothic"/>
                </w14:checkbox>
              </w:sdtPr>
              <w:sdtEndPr/>
              <w:sdtContent>
                <w:r w:rsidR="00CA2210">
                  <w:rPr>
                    <w:rFonts w:ascii="MS Gothic" w:eastAsia="MS Gothic" w:hAnsi="MS Gothic" w:hint="eastAsia"/>
                  </w:rPr>
                  <w:t>☐</w:t>
                </w:r>
              </w:sdtContent>
            </w:sdt>
            <w:r w:rsidR="00CA2210">
              <w:t xml:space="preserve"> Yes  </w:t>
            </w:r>
            <w:sdt>
              <w:sdtPr>
                <w:id w:val="-991559148"/>
                <w14:checkbox>
                  <w14:checked w14:val="0"/>
                  <w14:checkedState w14:val="2612" w14:font="MS Gothic"/>
                  <w14:uncheckedState w14:val="2610" w14:font="MS Gothic"/>
                </w14:checkbox>
              </w:sdtPr>
              <w:sdtEndPr/>
              <w:sdtContent>
                <w:r w:rsidR="00CA2210">
                  <w:rPr>
                    <w:rFonts w:ascii="MS Gothic" w:eastAsia="MS Gothic" w:hAnsi="MS Gothic" w:hint="eastAsia"/>
                  </w:rPr>
                  <w:t>☐</w:t>
                </w:r>
              </w:sdtContent>
            </w:sdt>
            <w:r w:rsidR="00CA2210">
              <w:t xml:space="preserve"> No</w:t>
            </w:r>
          </w:p>
        </w:tc>
      </w:tr>
      <w:tr w:rsidR="008B2DA0" w14:paraId="50258594" w14:textId="77777777" w:rsidTr="008B2DA0">
        <w:tc>
          <w:tcPr>
            <w:tcW w:w="8905" w:type="dxa"/>
          </w:tcPr>
          <w:p w14:paraId="7D3B4304" w14:textId="472C4DA1" w:rsidR="00112D36" w:rsidRPr="00112D36" w:rsidRDefault="00112D36" w:rsidP="00007DE4">
            <w:pPr>
              <w:pStyle w:val="ListParagraph"/>
              <w:numPr>
                <w:ilvl w:val="0"/>
                <w:numId w:val="10"/>
              </w:numPr>
              <w:jc w:val="both"/>
            </w:pPr>
            <w:r>
              <w:t xml:space="preserve">The Offeror confirms that it has the financial strength to perform the services required under this RFP.  </w:t>
            </w:r>
          </w:p>
          <w:p w14:paraId="374BF658" w14:textId="48865B9B" w:rsidR="008B2DA0" w:rsidRDefault="008B2DA0" w:rsidP="00112D36">
            <w:pPr>
              <w:jc w:val="both"/>
            </w:pPr>
          </w:p>
        </w:tc>
        <w:tc>
          <w:tcPr>
            <w:tcW w:w="1724" w:type="dxa"/>
          </w:tcPr>
          <w:p w14:paraId="78365E24" w14:textId="74BC28B4" w:rsidR="008B2DA0" w:rsidRDefault="00595341" w:rsidP="008B2DA0">
            <w:pPr>
              <w:jc w:val="center"/>
            </w:pPr>
            <w:sdt>
              <w:sdtPr>
                <w:id w:val="1582261002"/>
                <w14:checkbox>
                  <w14:checked w14:val="0"/>
                  <w14:checkedState w14:val="2612" w14:font="MS Gothic"/>
                  <w14:uncheckedState w14:val="2610" w14:font="MS Gothic"/>
                </w14:checkbox>
              </w:sdtPr>
              <w:sdtEndPr/>
              <w:sdtContent>
                <w:r w:rsidR="00CA2210">
                  <w:rPr>
                    <w:rFonts w:ascii="MS Gothic" w:eastAsia="MS Gothic" w:hAnsi="MS Gothic" w:hint="eastAsia"/>
                  </w:rPr>
                  <w:t>☐</w:t>
                </w:r>
              </w:sdtContent>
            </w:sdt>
            <w:r w:rsidR="00CA2210">
              <w:t xml:space="preserve"> Yes  </w:t>
            </w:r>
            <w:sdt>
              <w:sdtPr>
                <w:id w:val="-867368442"/>
                <w14:checkbox>
                  <w14:checked w14:val="0"/>
                  <w14:checkedState w14:val="2612" w14:font="MS Gothic"/>
                  <w14:uncheckedState w14:val="2610" w14:font="MS Gothic"/>
                </w14:checkbox>
              </w:sdtPr>
              <w:sdtEndPr/>
              <w:sdtContent>
                <w:r w:rsidR="00CA2210">
                  <w:rPr>
                    <w:rFonts w:ascii="MS Gothic" w:eastAsia="MS Gothic" w:hAnsi="MS Gothic" w:hint="eastAsia"/>
                  </w:rPr>
                  <w:t>☐</w:t>
                </w:r>
              </w:sdtContent>
            </w:sdt>
            <w:r w:rsidR="00CA2210">
              <w:t xml:space="preserve"> No</w:t>
            </w:r>
          </w:p>
        </w:tc>
      </w:tr>
      <w:tr w:rsidR="00112D36" w14:paraId="23D039B8" w14:textId="77777777" w:rsidTr="002C7643">
        <w:tc>
          <w:tcPr>
            <w:tcW w:w="8905" w:type="dxa"/>
          </w:tcPr>
          <w:p w14:paraId="55998F18" w14:textId="77777777" w:rsidR="00112D36" w:rsidRDefault="00112D36" w:rsidP="00007DE4">
            <w:pPr>
              <w:pStyle w:val="ListParagraph"/>
              <w:numPr>
                <w:ilvl w:val="0"/>
                <w:numId w:val="10"/>
              </w:numPr>
              <w:jc w:val="both"/>
            </w:pPr>
            <w:r>
              <w:t xml:space="preserve">The Offeror confirms that they can provide financial information (records, documents, etc.) and financial statements (Balance Sheet, Income Statement, and Cash-Flow Statement), to the State upon request. </w:t>
            </w:r>
          </w:p>
          <w:p w14:paraId="79BD1940" w14:textId="53633385" w:rsidR="00112D36" w:rsidRPr="00112D36" w:rsidRDefault="00112D36" w:rsidP="00112D36">
            <w:pPr>
              <w:jc w:val="both"/>
            </w:pPr>
          </w:p>
        </w:tc>
        <w:tc>
          <w:tcPr>
            <w:tcW w:w="1724" w:type="dxa"/>
          </w:tcPr>
          <w:p w14:paraId="667EA6C1" w14:textId="687E6300" w:rsidR="00112D36" w:rsidRDefault="00595341" w:rsidP="002C7643">
            <w:pPr>
              <w:jc w:val="center"/>
            </w:pPr>
            <w:sdt>
              <w:sdtPr>
                <w:id w:val="-1693221585"/>
                <w14:checkbox>
                  <w14:checked w14:val="0"/>
                  <w14:checkedState w14:val="2612" w14:font="MS Gothic"/>
                  <w14:uncheckedState w14:val="2610" w14:font="MS Gothic"/>
                </w14:checkbox>
              </w:sdtPr>
              <w:sdtEndPr/>
              <w:sdtContent>
                <w:r w:rsidR="00CA2210">
                  <w:rPr>
                    <w:rFonts w:ascii="MS Gothic" w:eastAsia="MS Gothic" w:hAnsi="MS Gothic" w:hint="eastAsia"/>
                  </w:rPr>
                  <w:t>☐</w:t>
                </w:r>
              </w:sdtContent>
            </w:sdt>
            <w:r w:rsidR="00CA2210">
              <w:t xml:space="preserve"> Yes  </w:t>
            </w:r>
            <w:sdt>
              <w:sdtPr>
                <w:id w:val="-1048605592"/>
                <w14:checkbox>
                  <w14:checked w14:val="0"/>
                  <w14:checkedState w14:val="2612" w14:font="MS Gothic"/>
                  <w14:uncheckedState w14:val="2610" w14:font="MS Gothic"/>
                </w14:checkbox>
              </w:sdtPr>
              <w:sdtEndPr/>
              <w:sdtContent>
                <w:r w:rsidR="00CA2210">
                  <w:rPr>
                    <w:rFonts w:ascii="MS Gothic" w:eastAsia="MS Gothic" w:hAnsi="MS Gothic" w:hint="eastAsia"/>
                  </w:rPr>
                  <w:t>☐</w:t>
                </w:r>
              </w:sdtContent>
            </w:sdt>
            <w:r w:rsidR="00CA2210">
              <w:t xml:space="preserve"> No</w:t>
            </w:r>
          </w:p>
        </w:tc>
      </w:tr>
      <w:tr w:rsidR="00CE3613" w14:paraId="3A94BF4E" w14:textId="77777777" w:rsidTr="002C7643">
        <w:tc>
          <w:tcPr>
            <w:tcW w:w="8905" w:type="dxa"/>
          </w:tcPr>
          <w:p w14:paraId="72566462" w14:textId="597F57A0" w:rsidR="00CE3613" w:rsidRPr="00112D36" w:rsidRDefault="00CE3613" w:rsidP="00007DE4">
            <w:pPr>
              <w:pStyle w:val="ListParagraph"/>
              <w:numPr>
                <w:ilvl w:val="0"/>
                <w:numId w:val="10"/>
              </w:numPr>
              <w:jc w:val="both"/>
            </w:pPr>
            <w:r>
              <w:t>Does the Offeror affirm and acknowledge that the state manages all vendor profiles and payment preferences exclusively through PaymentWorks, and that organizations selected for award must register or update their PaymentWorks account to avoid delays in contract awards and payments.</w:t>
            </w:r>
          </w:p>
        </w:tc>
        <w:tc>
          <w:tcPr>
            <w:tcW w:w="1724" w:type="dxa"/>
          </w:tcPr>
          <w:p w14:paraId="77560899" w14:textId="00D22EFD" w:rsidR="00CE3613" w:rsidRDefault="00CE3613" w:rsidP="002C7643">
            <w:pPr>
              <w:jc w:val="center"/>
            </w:pPr>
            <w:r>
              <w:rPr>
                <w:rFonts w:ascii="Segoe UI Symbol" w:hAnsi="Segoe UI Symbol" w:cs="Segoe UI Symbol"/>
              </w:rPr>
              <w:t>☐</w:t>
            </w:r>
            <w:r>
              <w:t xml:space="preserve"> Yes  </w:t>
            </w:r>
            <w:r>
              <w:rPr>
                <w:rFonts w:ascii="Segoe UI Symbol" w:hAnsi="Segoe UI Symbol" w:cs="Segoe UI Symbol"/>
              </w:rPr>
              <w:t>☐</w:t>
            </w:r>
            <w:r>
              <w:t xml:space="preserve"> No</w:t>
            </w:r>
          </w:p>
        </w:tc>
      </w:tr>
    </w:tbl>
    <w:p w14:paraId="5062CF04" w14:textId="48DA65BE" w:rsidR="00112D36" w:rsidRPr="00112D36" w:rsidRDefault="00112D36" w:rsidP="00112D36">
      <w:pPr>
        <w:jc w:val="both"/>
        <w:rPr>
          <w:i/>
          <w:iCs/>
        </w:rPr>
      </w:pPr>
      <w:r>
        <w:rPr>
          <w:i/>
          <w:iCs/>
        </w:rPr>
        <w:t xml:space="preserve">* Failure to answer, or answering “No” may be grounds for disqualification. Attach additional information on any subject where the Offeror responded “No” to a question above. </w:t>
      </w:r>
    </w:p>
    <w:p w14:paraId="143E15A4" w14:textId="77777777" w:rsidR="008B2DA0" w:rsidRDefault="008B2DA0" w:rsidP="00B84CEF">
      <w:pPr>
        <w:jc w:val="both"/>
      </w:pPr>
    </w:p>
    <w:p w14:paraId="4CBEC922" w14:textId="77777777" w:rsidR="0078081D" w:rsidRDefault="0078081D">
      <w:pPr>
        <w:rPr>
          <w:b/>
          <w:bCs/>
          <w:spacing w:val="20"/>
          <w:sz w:val="24"/>
          <w:szCs w:val="24"/>
        </w:rPr>
      </w:pPr>
      <w:r>
        <w:rPr>
          <w:b/>
          <w:bCs/>
          <w:spacing w:val="20"/>
          <w:sz w:val="24"/>
          <w:szCs w:val="24"/>
        </w:rPr>
        <w:br w:type="page"/>
      </w:r>
    </w:p>
    <w:p w14:paraId="5CBCA24B" w14:textId="1CC85703" w:rsidR="0029566A" w:rsidRDefault="0029566A" w:rsidP="0029566A">
      <w:pPr>
        <w:jc w:val="both"/>
        <w:rPr>
          <w:b/>
          <w:bCs/>
          <w:spacing w:val="20"/>
          <w:sz w:val="24"/>
          <w:szCs w:val="24"/>
        </w:rPr>
      </w:pPr>
      <w:r>
        <w:rPr>
          <w:b/>
          <w:bCs/>
          <w:spacing w:val="20"/>
          <w:sz w:val="24"/>
          <w:szCs w:val="24"/>
        </w:rPr>
        <w:lastRenderedPageBreak/>
        <w:t>CONTRACT TERMS AND CONDITIONS</w:t>
      </w:r>
    </w:p>
    <w:p w14:paraId="405D2DE6" w14:textId="02157FB2" w:rsidR="00601689" w:rsidRDefault="00601689" w:rsidP="00601689">
      <w:pPr>
        <w:jc w:val="both"/>
        <w:rPr>
          <w:b/>
          <w:bCs/>
        </w:rPr>
      </w:pPr>
      <w:r>
        <w:rPr>
          <w:b/>
          <w:bCs/>
        </w:rPr>
        <w:t xml:space="preserve">Important Note: Any modifications or exceptions to the Contract may be rejected by the State.  Therefore, the Offeror is strongly encouraged to submit any proposed modifications or exceptions during the Q&amp;A period (see Section 1.8).  </w:t>
      </w:r>
    </w:p>
    <w:p w14:paraId="081D0CE8" w14:textId="77777777" w:rsidR="00B7320A" w:rsidRPr="00B84CEF" w:rsidRDefault="00B7320A" w:rsidP="0029566A">
      <w:pPr>
        <w:jc w:val="both"/>
        <w:rPr>
          <w:b/>
          <w:bCs/>
          <w:spacing w:val="20"/>
          <w:sz w:val="24"/>
          <w:szCs w:val="24"/>
        </w:rPr>
      </w:pPr>
    </w:p>
    <w:tbl>
      <w:tblPr>
        <w:tblStyle w:val="TableGrid"/>
        <w:tblW w:w="10629" w:type="dxa"/>
        <w:tblLook w:val="04A0" w:firstRow="1" w:lastRow="0" w:firstColumn="1" w:lastColumn="0" w:noHBand="0" w:noVBand="1"/>
      </w:tblPr>
      <w:tblGrid>
        <w:gridCol w:w="8905"/>
        <w:gridCol w:w="1724"/>
      </w:tblGrid>
      <w:tr w:rsidR="0029566A" w:rsidRPr="00B15FC7" w14:paraId="1FED0D12" w14:textId="77777777" w:rsidTr="002C7643">
        <w:tc>
          <w:tcPr>
            <w:tcW w:w="8905" w:type="dxa"/>
            <w:shd w:val="clear" w:color="auto" w:fill="F2F2F2" w:themeFill="background1" w:themeFillShade="F2"/>
          </w:tcPr>
          <w:p w14:paraId="2281B0FB" w14:textId="77777777" w:rsidR="0029566A" w:rsidRPr="00B15FC7" w:rsidRDefault="0029566A" w:rsidP="002C7643">
            <w:pPr>
              <w:jc w:val="center"/>
              <w:rPr>
                <w:b/>
                <w:bCs/>
              </w:rPr>
            </w:pPr>
            <w:r>
              <w:rPr>
                <w:b/>
                <w:bCs/>
              </w:rPr>
              <w:t>QUESTION</w:t>
            </w:r>
          </w:p>
        </w:tc>
        <w:tc>
          <w:tcPr>
            <w:tcW w:w="1724" w:type="dxa"/>
            <w:shd w:val="clear" w:color="auto" w:fill="F2F2F2" w:themeFill="background1" w:themeFillShade="F2"/>
          </w:tcPr>
          <w:p w14:paraId="646F611A" w14:textId="77777777" w:rsidR="0029566A" w:rsidRPr="00B15FC7" w:rsidRDefault="0029566A" w:rsidP="002C7643">
            <w:pPr>
              <w:jc w:val="center"/>
              <w:rPr>
                <w:b/>
                <w:bCs/>
              </w:rPr>
            </w:pPr>
            <w:r>
              <w:rPr>
                <w:b/>
                <w:bCs/>
              </w:rPr>
              <w:t>RESPONSE*</w:t>
            </w:r>
          </w:p>
        </w:tc>
      </w:tr>
      <w:tr w:rsidR="0029566A" w:rsidRPr="00B15FC7" w14:paraId="35765EB1" w14:textId="77777777" w:rsidTr="008266E2">
        <w:trPr>
          <w:trHeight w:val="386"/>
        </w:trPr>
        <w:tc>
          <w:tcPr>
            <w:tcW w:w="8905" w:type="dxa"/>
            <w:vAlign w:val="center"/>
          </w:tcPr>
          <w:p w14:paraId="0D153F56" w14:textId="7AF4D2E1" w:rsidR="0029566A" w:rsidRPr="00B15FC7" w:rsidRDefault="0029566A" w:rsidP="00007DE4">
            <w:pPr>
              <w:pStyle w:val="ListParagraph"/>
              <w:numPr>
                <w:ilvl w:val="0"/>
                <w:numId w:val="11"/>
              </w:numPr>
              <w:jc w:val="both"/>
            </w:pPr>
            <w:r>
              <w:t>The Offeror accepts, and is willing to comply with, Idaho’s Terms and Conditions (located in IPRO)?</w:t>
            </w:r>
          </w:p>
        </w:tc>
        <w:tc>
          <w:tcPr>
            <w:tcW w:w="1724" w:type="dxa"/>
            <w:vAlign w:val="center"/>
          </w:tcPr>
          <w:p w14:paraId="032B76BA" w14:textId="0D9104A2" w:rsidR="0029566A" w:rsidRPr="00B15FC7" w:rsidRDefault="00595341" w:rsidP="002C7643">
            <w:pPr>
              <w:jc w:val="center"/>
            </w:pPr>
            <w:sdt>
              <w:sdtPr>
                <w:id w:val="538171226"/>
                <w14:checkbox>
                  <w14:checked w14:val="0"/>
                  <w14:checkedState w14:val="2612" w14:font="MS Gothic"/>
                  <w14:uncheckedState w14:val="2610" w14:font="MS Gothic"/>
                </w14:checkbox>
              </w:sdtPr>
              <w:sdtEndPr/>
              <w:sdtContent>
                <w:r w:rsidR="00CA2210">
                  <w:rPr>
                    <w:rFonts w:ascii="MS Gothic" w:eastAsia="MS Gothic" w:hAnsi="MS Gothic" w:hint="eastAsia"/>
                  </w:rPr>
                  <w:t>☐</w:t>
                </w:r>
              </w:sdtContent>
            </w:sdt>
            <w:r w:rsidR="00CA2210">
              <w:t xml:space="preserve"> Yes  </w:t>
            </w:r>
            <w:sdt>
              <w:sdtPr>
                <w:id w:val="-236406510"/>
                <w14:checkbox>
                  <w14:checked w14:val="0"/>
                  <w14:checkedState w14:val="2612" w14:font="MS Gothic"/>
                  <w14:uncheckedState w14:val="2610" w14:font="MS Gothic"/>
                </w14:checkbox>
              </w:sdtPr>
              <w:sdtEndPr/>
              <w:sdtContent>
                <w:r w:rsidR="00CA2210">
                  <w:rPr>
                    <w:rFonts w:ascii="MS Gothic" w:eastAsia="MS Gothic" w:hAnsi="MS Gothic" w:hint="eastAsia"/>
                  </w:rPr>
                  <w:t>☐</w:t>
                </w:r>
              </w:sdtContent>
            </w:sdt>
            <w:r w:rsidR="00CA2210">
              <w:t xml:space="preserve"> No</w:t>
            </w:r>
          </w:p>
        </w:tc>
      </w:tr>
    </w:tbl>
    <w:p w14:paraId="1A6E3EF6" w14:textId="27FFAB8E" w:rsidR="0029566A" w:rsidRPr="00B15FC7" w:rsidRDefault="0029566A" w:rsidP="0029566A">
      <w:pPr>
        <w:jc w:val="both"/>
        <w:rPr>
          <w:i/>
          <w:iCs/>
        </w:rPr>
      </w:pPr>
      <w:r>
        <w:rPr>
          <w:i/>
          <w:iCs/>
        </w:rPr>
        <w:t xml:space="preserve">* Failure to answer, or answering “No” may be grounds for disqualification. Complete the information below if you have responded “No” to the question above.  </w:t>
      </w:r>
    </w:p>
    <w:p w14:paraId="77F4AD4D" w14:textId="77777777" w:rsidR="0029566A" w:rsidRPr="00B15FC7" w:rsidRDefault="0029566A" w:rsidP="008B2DA0">
      <w:pPr>
        <w:jc w:val="both"/>
      </w:pPr>
    </w:p>
    <w:p w14:paraId="2C13CFD2" w14:textId="20221DC2" w:rsidR="00610634" w:rsidRDefault="00601689" w:rsidP="00B7320A">
      <w:pPr>
        <w:jc w:val="both"/>
      </w:pPr>
      <w:r>
        <w:t xml:space="preserve">The Offeror must review </w:t>
      </w:r>
      <w:r>
        <w:rPr>
          <w:b/>
          <w:bCs/>
        </w:rPr>
        <w:t>Exhibit 11</w:t>
      </w:r>
      <w:r>
        <w:t xml:space="preserve"> for additional information regarding the State’s Terms and Conditions.  Non-material modifications or exceptions may be discussed with the apparent successful Offeror, at the discretion of the State.  The State has sole discretion to determine if the modifications or exceptions would result in a material change or otherwise threaten the integrity of the procurement process.   The State must have the right to reject any and all such modifications and/or exceptions, or to call an end to such discussions, and to instruct the Offeror to amend its Proposal and remove the modifications and/or exceptions.  Failure to do so may result in the State finding the Proposal non-responsive.  The determination of materiality will be made at the State’s sole discretion.  In the event that the Offeror has conditioned its Proposal on the State’s acceptance or negotiation of its proposed modifications or exceptions, and the modifications or exceptions are deemed material, the Offeror will be given the opportunity to retract the proposed modifications or exceptions from its Proposal.  Failure to do so will result in the Offeror’s Proposal being found non-responsive, after which it will receive no further consideration.  </w:t>
      </w:r>
    </w:p>
    <w:p w14:paraId="383FB11D" w14:textId="77777777" w:rsidR="00610634" w:rsidRDefault="00610634" w:rsidP="00B7320A">
      <w:pPr>
        <w:jc w:val="both"/>
      </w:pPr>
    </w:p>
    <w:p w14:paraId="5562A566" w14:textId="030E4C9B" w:rsidR="00610634" w:rsidRDefault="00B15FC7" w:rsidP="00B7320A">
      <w:pPr>
        <w:jc w:val="both"/>
      </w:pPr>
      <w:r>
        <w:t xml:space="preserve">The Offeror must identify all modifications or exceptions to the Contract Terms &amp; Conditions provided in </w:t>
      </w:r>
      <w:r>
        <w:rPr>
          <w:b/>
          <w:bCs/>
        </w:rPr>
        <w:t>Exhibit 11</w:t>
      </w:r>
      <w:r>
        <w:t xml:space="preserve">.  The Offeror must use the template that is provided in </w:t>
      </w:r>
      <w:r>
        <w:rPr>
          <w:b/>
          <w:bCs/>
        </w:rPr>
        <w:t>Exhibit 11</w:t>
      </w:r>
      <w:r>
        <w:t xml:space="preserve">. Blanket requests to negotiate requirements, terms, or conditions will not be considered.  </w:t>
      </w:r>
    </w:p>
    <w:p w14:paraId="1EA61C9A" w14:textId="77777777" w:rsidR="00610634" w:rsidRDefault="00610634" w:rsidP="00B7320A">
      <w:pPr>
        <w:jc w:val="both"/>
      </w:pPr>
    </w:p>
    <w:p w14:paraId="0C108A6A" w14:textId="77777777" w:rsidR="00B84CEF" w:rsidRDefault="00B84CEF" w:rsidP="00B84CEF">
      <w:pPr>
        <w:jc w:val="both"/>
      </w:pPr>
    </w:p>
    <w:p w14:paraId="719ABB6D" w14:textId="77777777" w:rsidR="00B84CEF" w:rsidRPr="00B84CEF" w:rsidRDefault="00B84CEF" w:rsidP="00B84CEF">
      <w:pPr>
        <w:jc w:val="both"/>
        <w:rPr>
          <w:b/>
          <w:bCs/>
          <w:spacing w:val="20"/>
          <w:sz w:val="24"/>
          <w:szCs w:val="24"/>
        </w:rPr>
      </w:pPr>
      <w:r>
        <w:rPr>
          <w:b/>
          <w:bCs/>
          <w:spacing w:val="20"/>
          <w:sz w:val="24"/>
          <w:szCs w:val="24"/>
        </w:rPr>
        <w:t xml:space="preserve">ATTESTATION AND SIGNATURE </w:t>
      </w:r>
    </w:p>
    <w:p w14:paraId="58154A45" w14:textId="1A3EC8FC" w:rsidR="00B84CEF" w:rsidRDefault="00B84CEF" w:rsidP="00B84CEF">
      <w:pPr>
        <w:jc w:val="both"/>
      </w:pPr>
      <w:r>
        <w:t>This Submittal must be dated and signed by an officer or agent (“Representative”) duly authorized to execute contracts for the Offeror.  I certify that I have read and understand this RFP and I am authorized to sign this Proposal on behalf of the Offeror.</w:t>
      </w:r>
    </w:p>
    <w:p w14:paraId="2E795BAE" w14:textId="3806A559" w:rsidR="0078081D" w:rsidRDefault="0078081D" w:rsidP="00B84CEF">
      <w:pPr>
        <w:jc w:val="both"/>
      </w:pPr>
    </w:p>
    <w:p w14:paraId="533E9A78" w14:textId="77777777" w:rsidR="0078081D" w:rsidRDefault="0078081D" w:rsidP="00B84CEF">
      <w:pPr>
        <w:jc w:val="both"/>
      </w:pPr>
    </w:p>
    <w:p w14:paraId="6E119A67" w14:textId="77777777" w:rsidR="00B84CEF" w:rsidRDefault="00B84CEF" w:rsidP="00B84CEF">
      <w:pPr>
        <w:jc w:val="both"/>
      </w:pPr>
    </w:p>
    <w:tbl>
      <w:tblPr>
        <w:tblStyle w:val="TableGrid"/>
        <w:tblW w:w="10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270"/>
        <w:gridCol w:w="3510"/>
        <w:gridCol w:w="264"/>
        <w:gridCol w:w="2166"/>
      </w:tblGrid>
      <w:tr w:rsidR="00112D36" w:rsidRPr="00112D36" w14:paraId="10B94C00" w14:textId="77777777" w:rsidTr="00112D36">
        <w:tc>
          <w:tcPr>
            <w:tcW w:w="4495" w:type="dxa"/>
            <w:tcBorders>
              <w:bottom w:val="single" w:sz="4" w:space="0" w:color="auto"/>
            </w:tcBorders>
          </w:tcPr>
          <w:p w14:paraId="177925A1" w14:textId="77777777" w:rsidR="00112D36" w:rsidRPr="00112D36" w:rsidRDefault="00112D36" w:rsidP="002C7643">
            <w:pPr>
              <w:jc w:val="both"/>
              <w:rPr>
                <w:b/>
                <w:bCs/>
              </w:rPr>
            </w:pPr>
          </w:p>
        </w:tc>
        <w:tc>
          <w:tcPr>
            <w:tcW w:w="270" w:type="dxa"/>
          </w:tcPr>
          <w:p w14:paraId="1DA5506E" w14:textId="77777777" w:rsidR="00112D36" w:rsidRPr="00112D36" w:rsidRDefault="00112D36" w:rsidP="002C7643">
            <w:pPr>
              <w:jc w:val="both"/>
              <w:rPr>
                <w:b/>
                <w:bCs/>
              </w:rPr>
            </w:pPr>
          </w:p>
        </w:tc>
        <w:tc>
          <w:tcPr>
            <w:tcW w:w="3510" w:type="dxa"/>
            <w:tcBorders>
              <w:bottom w:val="single" w:sz="4" w:space="0" w:color="auto"/>
            </w:tcBorders>
          </w:tcPr>
          <w:p w14:paraId="6A0B559D" w14:textId="77777777" w:rsidR="00112D36" w:rsidRPr="00112D36" w:rsidRDefault="00112D36" w:rsidP="002C7643">
            <w:pPr>
              <w:jc w:val="both"/>
              <w:rPr>
                <w:b/>
                <w:bCs/>
              </w:rPr>
            </w:pPr>
          </w:p>
        </w:tc>
        <w:tc>
          <w:tcPr>
            <w:tcW w:w="264" w:type="dxa"/>
          </w:tcPr>
          <w:p w14:paraId="4FE05714" w14:textId="77777777" w:rsidR="00112D36" w:rsidRPr="00112D36" w:rsidRDefault="00112D36" w:rsidP="002C7643">
            <w:pPr>
              <w:jc w:val="both"/>
              <w:rPr>
                <w:b/>
                <w:bCs/>
              </w:rPr>
            </w:pPr>
          </w:p>
        </w:tc>
        <w:tc>
          <w:tcPr>
            <w:tcW w:w="2166" w:type="dxa"/>
            <w:tcBorders>
              <w:bottom w:val="single" w:sz="4" w:space="0" w:color="auto"/>
            </w:tcBorders>
          </w:tcPr>
          <w:p w14:paraId="6C797B72" w14:textId="77777777" w:rsidR="00112D36" w:rsidRPr="00112D36" w:rsidRDefault="00112D36" w:rsidP="002C7643">
            <w:pPr>
              <w:jc w:val="both"/>
              <w:rPr>
                <w:b/>
                <w:bCs/>
              </w:rPr>
            </w:pPr>
          </w:p>
        </w:tc>
      </w:tr>
      <w:tr w:rsidR="00112D36" w14:paraId="730B6380" w14:textId="77777777" w:rsidTr="00112D36">
        <w:tc>
          <w:tcPr>
            <w:tcW w:w="4495" w:type="dxa"/>
            <w:tcBorders>
              <w:top w:val="single" w:sz="4" w:space="0" w:color="auto"/>
            </w:tcBorders>
          </w:tcPr>
          <w:p w14:paraId="32513C86" w14:textId="11344E72" w:rsidR="00112D36" w:rsidRDefault="00112D36" w:rsidP="00B84CEF">
            <w:pPr>
              <w:jc w:val="both"/>
            </w:pPr>
            <w:r>
              <w:t>Printed Name of Representative</w:t>
            </w:r>
            <w:r>
              <w:tab/>
            </w:r>
          </w:p>
        </w:tc>
        <w:tc>
          <w:tcPr>
            <w:tcW w:w="270" w:type="dxa"/>
          </w:tcPr>
          <w:p w14:paraId="718BADDA" w14:textId="77777777" w:rsidR="00112D36" w:rsidRDefault="00112D36" w:rsidP="00B84CEF">
            <w:pPr>
              <w:jc w:val="both"/>
            </w:pPr>
          </w:p>
        </w:tc>
        <w:tc>
          <w:tcPr>
            <w:tcW w:w="3510" w:type="dxa"/>
            <w:tcBorders>
              <w:top w:val="single" w:sz="4" w:space="0" w:color="auto"/>
            </w:tcBorders>
          </w:tcPr>
          <w:p w14:paraId="169987D9" w14:textId="78714470" w:rsidR="00112D36" w:rsidRDefault="00112D36" w:rsidP="00B84CEF">
            <w:pPr>
              <w:jc w:val="both"/>
            </w:pPr>
            <w:r>
              <w:t>Signature</w:t>
            </w:r>
          </w:p>
        </w:tc>
        <w:tc>
          <w:tcPr>
            <w:tcW w:w="264" w:type="dxa"/>
          </w:tcPr>
          <w:p w14:paraId="1AFD48DB" w14:textId="77777777" w:rsidR="00112D36" w:rsidRDefault="00112D36" w:rsidP="00B84CEF">
            <w:pPr>
              <w:jc w:val="both"/>
            </w:pPr>
          </w:p>
        </w:tc>
        <w:tc>
          <w:tcPr>
            <w:tcW w:w="2166" w:type="dxa"/>
            <w:tcBorders>
              <w:top w:val="single" w:sz="4" w:space="0" w:color="auto"/>
            </w:tcBorders>
          </w:tcPr>
          <w:p w14:paraId="01E0B5CE" w14:textId="58B7E7D9" w:rsidR="00112D36" w:rsidRDefault="00112D36" w:rsidP="00B84CEF">
            <w:pPr>
              <w:jc w:val="both"/>
            </w:pPr>
            <w:r>
              <w:t>Date</w:t>
            </w:r>
          </w:p>
        </w:tc>
      </w:tr>
    </w:tbl>
    <w:p w14:paraId="0027B02B" w14:textId="77777777" w:rsidR="00B84CEF" w:rsidRDefault="00B84CEF" w:rsidP="00B84CEF">
      <w:pPr>
        <w:jc w:val="both"/>
      </w:pPr>
    </w:p>
    <w:p w14:paraId="0D9E0DC2" w14:textId="77777777" w:rsidR="00B84CEF" w:rsidRDefault="00B84CEF" w:rsidP="00B84CEF">
      <w:pPr>
        <w:jc w:val="both"/>
      </w:pPr>
    </w:p>
    <w:p w14:paraId="2A845084" w14:textId="77777777" w:rsidR="00112D36" w:rsidRDefault="00112D36" w:rsidP="00B84CEF">
      <w:pPr>
        <w:jc w:val="both"/>
      </w:pPr>
    </w:p>
    <w:p w14:paraId="75C2D06D" w14:textId="77777777" w:rsidR="00B15FC7" w:rsidRDefault="00B15FC7">
      <w:pPr>
        <w:rPr>
          <w:spacing w:val="20"/>
          <w:sz w:val="48"/>
          <w:szCs w:val="48"/>
        </w:rPr>
      </w:pPr>
      <w:r>
        <w:rPr>
          <w:spacing w:val="20"/>
          <w:sz w:val="48"/>
          <w:szCs w:val="48"/>
        </w:rPr>
        <w:br w:type="page"/>
      </w:r>
    </w:p>
    <w:p w14:paraId="0E759D0F" w14:textId="5C27966E" w:rsidR="0014373B" w:rsidRPr="00B84CEF" w:rsidRDefault="0014373B" w:rsidP="0014373B">
      <w:pPr>
        <w:jc w:val="center"/>
        <w:rPr>
          <w:spacing w:val="20"/>
          <w:sz w:val="48"/>
          <w:szCs w:val="48"/>
        </w:rPr>
      </w:pPr>
      <w:r>
        <w:rPr>
          <w:spacing w:val="20"/>
          <w:sz w:val="48"/>
          <w:szCs w:val="48"/>
        </w:rPr>
        <w:lastRenderedPageBreak/>
        <w:t>SUBMITTAL FORM B</w:t>
      </w:r>
    </w:p>
    <w:p w14:paraId="51170A4F" w14:textId="789E0AAB" w:rsidR="0014373B" w:rsidRPr="00B84CEF" w:rsidRDefault="00B15FC7" w:rsidP="0014373B">
      <w:pPr>
        <w:shd w:val="clear" w:color="auto" w:fill="F2F2F2" w:themeFill="background1" w:themeFillShade="F2"/>
        <w:jc w:val="center"/>
        <w:rPr>
          <w:b/>
          <w:bCs/>
          <w:spacing w:val="20"/>
          <w:sz w:val="36"/>
          <w:szCs w:val="36"/>
        </w:rPr>
      </w:pPr>
      <w:r>
        <w:rPr>
          <w:b/>
          <w:bCs/>
          <w:spacing w:val="20"/>
          <w:sz w:val="36"/>
          <w:szCs w:val="36"/>
        </w:rPr>
        <w:t xml:space="preserve">Part 1 - Qualifications &amp; Experience </w:t>
      </w:r>
    </w:p>
    <w:p w14:paraId="7BF36BF0" w14:textId="77777777" w:rsidR="0014373B" w:rsidRDefault="0014373B" w:rsidP="0014373B">
      <w:pPr>
        <w:jc w:val="both"/>
      </w:pPr>
    </w:p>
    <w:p w14:paraId="1ADDAD13" w14:textId="77777777" w:rsidR="00B84CEF" w:rsidRDefault="00B84CEF" w:rsidP="00702E11">
      <w:pPr>
        <w:jc w:val="both"/>
      </w:pPr>
    </w:p>
    <w:p w14:paraId="799A4CC2" w14:textId="77777777" w:rsidR="008D7F52" w:rsidRDefault="008D7F52" w:rsidP="00702E11">
      <w:pPr>
        <w:jc w:val="both"/>
      </w:pPr>
    </w:p>
    <w:p w14:paraId="4E7190FF" w14:textId="77777777" w:rsidR="008D7F52" w:rsidRDefault="008D7F52" w:rsidP="00702E11">
      <w:pPr>
        <w:jc w:val="both"/>
      </w:pPr>
    </w:p>
    <w:p w14:paraId="71940253" w14:textId="77777777" w:rsidR="008D7F52" w:rsidRDefault="008D7F52" w:rsidP="00702E11">
      <w:pPr>
        <w:jc w:val="both"/>
      </w:pPr>
    </w:p>
    <w:p w14:paraId="296B6BEC" w14:textId="77777777" w:rsidR="008D7F52" w:rsidRDefault="008D7F52">
      <w:pPr>
        <w:rPr>
          <w:spacing w:val="20"/>
          <w:sz w:val="48"/>
          <w:szCs w:val="48"/>
        </w:rPr>
      </w:pPr>
      <w:r>
        <w:rPr>
          <w:spacing w:val="20"/>
          <w:sz w:val="48"/>
          <w:szCs w:val="48"/>
        </w:rPr>
        <w:br w:type="page"/>
      </w:r>
    </w:p>
    <w:p w14:paraId="183DA87B" w14:textId="77777777" w:rsidR="00B15FC7" w:rsidRPr="00B84CEF" w:rsidRDefault="00B15FC7" w:rsidP="00B15FC7">
      <w:pPr>
        <w:jc w:val="center"/>
        <w:rPr>
          <w:spacing w:val="20"/>
          <w:sz w:val="48"/>
          <w:szCs w:val="48"/>
        </w:rPr>
      </w:pPr>
      <w:r>
        <w:rPr>
          <w:spacing w:val="20"/>
          <w:sz w:val="48"/>
          <w:szCs w:val="48"/>
        </w:rPr>
        <w:lastRenderedPageBreak/>
        <w:t>SUBMITTAL FORM B</w:t>
      </w:r>
    </w:p>
    <w:p w14:paraId="51A12023" w14:textId="5A04BC55" w:rsidR="0014373B" w:rsidRPr="00B84CEF" w:rsidRDefault="00B15FC7" w:rsidP="00B15FC7">
      <w:pPr>
        <w:shd w:val="clear" w:color="auto" w:fill="F2F2F2" w:themeFill="background1" w:themeFillShade="F2"/>
        <w:jc w:val="center"/>
        <w:rPr>
          <w:b/>
          <w:bCs/>
          <w:spacing w:val="20"/>
          <w:sz w:val="36"/>
          <w:szCs w:val="36"/>
        </w:rPr>
      </w:pPr>
      <w:r>
        <w:rPr>
          <w:b/>
          <w:bCs/>
          <w:spacing w:val="20"/>
          <w:sz w:val="36"/>
          <w:szCs w:val="36"/>
        </w:rPr>
        <w:t xml:space="preserve">Part 2 - Approach </w:t>
      </w:r>
    </w:p>
    <w:p w14:paraId="2D5AC7B1" w14:textId="77777777" w:rsidR="0014373B" w:rsidRDefault="0014373B" w:rsidP="0014373B">
      <w:pPr>
        <w:jc w:val="both"/>
      </w:pPr>
    </w:p>
    <w:p w14:paraId="2815A48E" w14:textId="77777777" w:rsidR="0014373B" w:rsidRDefault="0014373B" w:rsidP="00702E11">
      <w:pPr>
        <w:jc w:val="both"/>
      </w:pPr>
    </w:p>
    <w:p w14:paraId="10E47880" w14:textId="77777777" w:rsidR="008D7F52" w:rsidRDefault="008D7F52" w:rsidP="00702E11">
      <w:pPr>
        <w:jc w:val="both"/>
      </w:pPr>
    </w:p>
    <w:p w14:paraId="285846CE" w14:textId="77777777" w:rsidR="008D7F52" w:rsidRDefault="008D7F52" w:rsidP="00702E11">
      <w:pPr>
        <w:jc w:val="both"/>
      </w:pPr>
    </w:p>
    <w:p w14:paraId="08BD5EE3" w14:textId="77777777" w:rsidR="008D7F52" w:rsidRDefault="008D7F52" w:rsidP="00702E11">
      <w:pPr>
        <w:jc w:val="both"/>
      </w:pPr>
    </w:p>
    <w:p w14:paraId="38CCA830" w14:textId="1E5D068B" w:rsidR="008D7F52" w:rsidRDefault="008D7F52">
      <w:r>
        <w:br w:type="page"/>
      </w:r>
    </w:p>
    <w:p w14:paraId="02B9F89A" w14:textId="77777777" w:rsidR="00B15FC7" w:rsidRPr="00B84CEF" w:rsidRDefault="00B15FC7" w:rsidP="00B15FC7">
      <w:pPr>
        <w:jc w:val="center"/>
        <w:rPr>
          <w:spacing w:val="20"/>
          <w:sz w:val="48"/>
          <w:szCs w:val="48"/>
        </w:rPr>
      </w:pPr>
      <w:r>
        <w:rPr>
          <w:spacing w:val="20"/>
          <w:sz w:val="48"/>
          <w:szCs w:val="48"/>
        </w:rPr>
        <w:lastRenderedPageBreak/>
        <w:t>SUBMITTAL FORM B</w:t>
      </w:r>
    </w:p>
    <w:p w14:paraId="49B2E465" w14:textId="5DA1FB67" w:rsidR="0014373B" w:rsidRPr="00B84CEF" w:rsidRDefault="00B15FC7" w:rsidP="00B15FC7">
      <w:pPr>
        <w:shd w:val="clear" w:color="auto" w:fill="F2F2F2" w:themeFill="background1" w:themeFillShade="F2"/>
        <w:jc w:val="center"/>
        <w:rPr>
          <w:b/>
          <w:bCs/>
          <w:spacing w:val="20"/>
          <w:sz w:val="36"/>
          <w:szCs w:val="36"/>
        </w:rPr>
      </w:pPr>
      <w:r>
        <w:rPr>
          <w:b/>
          <w:bCs/>
          <w:spacing w:val="20"/>
          <w:sz w:val="36"/>
          <w:szCs w:val="36"/>
        </w:rPr>
        <w:t xml:space="preserve">Part 3 - Obstacles, Challenges, &amp; Risks </w:t>
      </w:r>
    </w:p>
    <w:p w14:paraId="6EF0D001" w14:textId="77777777" w:rsidR="0014373B" w:rsidRDefault="0014373B" w:rsidP="0014373B">
      <w:pPr>
        <w:jc w:val="both"/>
      </w:pPr>
    </w:p>
    <w:p w14:paraId="0A497D84" w14:textId="77777777" w:rsidR="00C059C0" w:rsidRDefault="00C059C0" w:rsidP="00702E11">
      <w:pPr>
        <w:jc w:val="both"/>
      </w:pPr>
    </w:p>
    <w:p w14:paraId="301ECDE8" w14:textId="77777777" w:rsidR="00DE7227" w:rsidRDefault="00DE7227">
      <w:pPr>
        <w:rPr>
          <w:spacing w:val="20"/>
          <w:sz w:val="48"/>
          <w:szCs w:val="48"/>
        </w:rPr>
      </w:pPr>
      <w:r>
        <w:rPr>
          <w:spacing w:val="20"/>
          <w:sz w:val="48"/>
          <w:szCs w:val="48"/>
        </w:rPr>
        <w:br w:type="page"/>
      </w:r>
    </w:p>
    <w:p w14:paraId="7C3BAEC6" w14:textId="029F30C6" w:rsidR="00DE7227" w:rsidRPr="00B84CEF" w:rsidRDefault="00DE7227" w:rsidP="00DE7227">
      <w:pPr>
        <w:jc w:val="center"/>
        <w:rPr>
          <w:spacing w:val="20"/>
          <w:sz w:val="48"/>
          <w:szCs w:val="48"/>
        </w:rPr>
      </w:pPr>
      <w:r>
        <w:rPr>
          <w:spacing w:val="20"/>
          <w:sz w:val="48"/>
          <w:szCs w:val="48"/>
        </w:rPr>
        <w:lastRenderedPageBreak/>
        <w:t>SUBMITTAL FORM B</w:t>
      </w:r>
    </w:p>
    <w:p w14:paraId="18ACE9B4" w14:textId="788788FC" w:rsidR="00DE7227" w:rsidRPr="00B84CEF" w:rsidRDefault="00DE7227" w:rsidP="00DE7227">
      <w:pPr>
        <w:shd w:val="clear" w:color="auto" w:fill="F2F2F2" w:themeFill="background1" w:themeFillShade="F2"/>
        <w:jc w:val="center"/>
        <w:rPr>
          <w:b/>
          <w:bCs/>
          <w:spacing w:val="20"/>
          <w:sz w:val="36"/>
          <w:szCs w:val="36"/>
        </w:rPr>
      </w:pPr>
      <w:r>
        <w:rPr>
          <w:b/>
          <w:bCs/>
          <w:spacing w:val="20"/>
          <w:sz w:val="36"/>
          <w:szCs w:val="36"/>
        </w:rPr>
        <w:t xml:space="preserve">Part 4 - Scenario </w:t>
      </w:r>
    </w:p>
    <w:p w14:paraId="17AF3A60" w14:textId="3ECF486E" w:rsidR="005300FC" w:rsidRDefault="00DE7227" w:rsidP="00702E11">
      <w:pPr>
        <w:jc w:val="both"/>
      </w:pPr>
      <w:r>
        <w:t>The Offeror must respond to the scenario below, demonstrating how their proposed staffing model, operational design, and direct cost approach will deliver the SCSEP scope of work under current operational parameters. Cost or pricing information must not appear in this Part. The corresponding cost calculation is submitted in Submittal Form C. This Part evaluates configuration-specific commitments tied to Submittal Form C. Do not repeat methodology described in Part 2.</w:t>
      </w:r>
    </w:p>
    <w:p w14:paraId="352E9B48" w14:textId="77777777" w:rsidR="005300FC" w:rsidRDefault="005300FC" w:rsidP="00702E11">
      <w:pPr>
        <w:jc w:val="both"/>
      </w:pPr>
    </w:p>
    <w:p w14:paraId="0DEBC874" w14:textId="77777777" w:rsidR="00DE7227" w:rsidRPr="00DE7227" w:rsidRDefault="00DE7227" w:rsidP="00DE7227">
      <w:pPr>
        <w:jc w:val="both"/>
        <w:rPr>
          <w:b/>
          <w:bCs/>
        </w:rPr>
      </w:pPr>
      <w:r>
        <w:rPr>
          <w:b/>
          <w:bCs/>
        </w:rPr>
        <w:t>Scenario Setup</w:t>
      </w:r>
    </w:p>
    <w:p w14:paraId="2975BED1" w14:textId="43CD193C" w:rsidR="00DE7227" w:rsidRDefault="00DE7227" w:rsidP="00DE7227">
      <w:pPr>
        <w:jc w:val="both"/>
      </w:pPr>
      <w:r>
        <w:t>Beginning on the operational start date established in the Contract, the Offeror will operate SCSEP for Idaho Planning Service Area 3 (PSA 3) under the following parameters:</w:t>
      </w:r>
    </w:p>
    <w:p w14:paraId="14784C51" w14:textId="77777777" w:rsidR="00DE7227" w:rsidRPr="00DE7227" w:rsidRDefault="00DE7227" w:rsidP="00DE7227">
      <w:pPr>
        <w:jc w:val="both"/>
      </w:pPr>
    </w:p>
    <w:p w14:paraId="25262601" w14:textId="77777777" w:rsidR="00DE7227" w:rsidRPr="00DE7227" w:rsidRDefault="00DE7227" w:rsidP="00007DE4">
      <w:pPr>
        <w:numPr>
          <w:ilvl w:val="0"/>
          <w:numId w:val="26"/>
        </w:numPr>
        <w:jc w:val="both"/>
      </w:pPr>
      <w:r>
        <w:rPr>
          <w:b/>
          <w:bCs/>
        </w:rPr>
        <w:t>Authorized Slots:</w:t>
      </w:r>
      <w:r>
        <w:t xml:space="preserve"> 41 (39 Ada County, 2 Gem County)</w:t>
      </w:r>
    </w:p>
    <w:p w14:paraId="438CB22E" w14:textId="77777777" w:rsidR="00DE7227" w:rsidRPr="00DE7227" w:rsidRDefault="00DE7227" w:rsidP="00007DE4">
      <w:pPr>
        <w:numPr>
          <w:ilvl w:val="0"/>
          <w:numId w:val="26"/>
        </w:numPr>
        <w:jc w:val="both"/>
      </w:pPr>
      <w:r>
        <w:rPr>
          <w:b/>
          <w:bCs/>
        </w:rPr>
        <w:t>Program Year:</w:t>
      </w:r>
      <w:r>
        <w:t xml:space="preserve"> July 1, 2026 – June 30, 2027</w:t>
      </w:r>
    </w:p>
    <w:p w14:paraId="079C62EF" w14:textId="77777777" w:rsidR="00DE7227" w:rsidRPr="00DE7227" w:rsidRDefault="00DE7227" w:rsidP="00007DE4">
      <w:pPr>
        <w:numPr>
          <w:ilvl w:val="0"/>
          <w:numId w:val="26"/>
        </w:numPr>
        <w:jc w:val="both"/>
      </w:pPr>
      <w:r>
        <w:rPr>
          <w:b/>
          <w:bCs/>
        </w:rPr>
        <w:t>Performance Targets:</w:t>
      </w:r>
      <w:r>
        <w:t xml:space="preserve"> Per current USDOL targets in Exhibit 2, Section 5.2</w:t>
      </w:r>
    </w:p>
    <w:p w14:paraId="158C2499" w14:textId="77777777" w:rsidR="00DE7227" w:rsidRPr="00DE7227" w:rsidRDefault="00DE7227" w:rsidP="00007DE4">
      <w:pPr>
        <w:numPr>
          <w:ilvl w:val="0"/>
          <w:numId w:val="26"/>
        </w:numPr>
        <w:jc w:val="both"/>
      </w:pPr>
      <w:r>
        <w:rPr>
          <w:b/>
          <w:bCs/>
        </w:rPr>
        <w:t>Operating Conditions:</w:t>
      </w:r>
      <w:r>
        <w:t xml:space="preserve"> Current USDOL demonstration; Effectiveness in Serving Employers measure N/A</w:t>
      </w:r>
    </w:p>
    <w:p w14:paraId="3C64B6C8" w14:textId="1AEE9C68" w:rsidR="00DE7227" w:rsidRPr="00DE7227" w:rsidRDefault="00DE7227" w:rsidP="00007DE4">
      <w:pPr>
        <w:numPr>
          <w:ilvl w:val="0"/>
          <w:numId w:val="26"/>
        </w:numPr>
        <w:jc w:val="both"/>
      </w:pPr>
      <w:r>
        <w:rPr>
          <w:b/>
          <w:bCs/>
        </w:rPr>
        <w:t>Inherited Caseload:</w:t>
      </w:r>
      <w:r>
        <w:t xml:space="preserve"> 41 active Participants and an established Host Agency network in PSA 3</w:t>
      </w:r>
    </w:p>
    <w:p w14:paraId="18786D30" w14:textId="77777777" w:rsidR="00D33EEF" w:rsidRDefault="00DE7227" w:rsidP="00D33EEF">
      <w:pPr>
        <w:numPr>
          <w:ilvl w:val="0"/>
          <w:numId w:val="26"/>
        </w:numPr>
        <w:jc w:val="both"/>
      </w:pPr>
      <w:r>
        <w:rPr>
          <w:b/>
          <w:bCs/>
        </w:rPr>
        <w:t>Performance Period for Response:</w:t>
      </w:r>
      <w:r>
        <w:t xml:space="preserve"> One full program year of steady-state operations (PY 2026-2027)</w:t>
      </w:r>
    </w:p>
    <w:p w14:paraId="5C711BFD" w14:textId="77777777" w:rsidR="00D33EEF" w:rsidRDefault="00D33EEF" w:rsidP="00D33EEF">
      <w:pPr>
        <w:ind w:left="720"/>
        <w:jc w:val="both"/>
      </w:pPr>
    </w:p>
    <w:p w14:paraId="5B6CFBF5" w14:textId="77777777" w:rsidR="00D33EEF" w:rsidRDefault="00D33EEF" w:rsidP="00D33EEF">
      <w:pPr>
        <w:ind w:left="720"/>
        <w:jc w:val="both"/>
      </w:pPr>
    </w:p>
    <w:p w14:paraId="370AA650" w14:textId="16CED970" w:rsidR="00D33EEF" w:rsidRPr="00D33EEF" w:rsidRDefault="00DE7227" w:rsidP="00D33EEF">
      <w:pPr>
        <w:jc w:val="both"/>
      </w:pPr>
      <w:r>
        <w:rPr>
          <w:b/>
          <w:bCs/>
        </w:rPr>
        <w:t>Required Response Elements</w:t>
      </w:r>
    </w:p>
    <w:p w14:paraId="6CD0B18E" w14:textId="4C88CC19" w:rsidR="00DE7227" w:rsidRPr="00D33EEF" w:rsidRDefault="00DE7227" w:rsidP="00D33EEF">
      <w:pPr>
        <w:jc w:val="both"/>
        <w:rPr>
          <w:b/>
          <w:bCs/>
        </w:rPr>
      </w:pPr>
      <w:r>
        <w:t>The Offeror's response must address each of the following. The response must be consistent with the Staffing (Section 1) and Operating (Section 2) entries in Submittal Form C; material inconsistencies may be grounds for clarification or a non-responsiveness determination.</w:t>
      </w:r>
    </w:p>
    <w:p w14:paraId="2DBD8733" w14:textId="77777777" w:rsidR="00DE7227" w:rsidRPr="00DE7227" w:rsidRDefault="00DE7227" w:rsidP="00DE7227">
      <w:pPr>
        <w:jc w:val="both"/>
      </w:pPr>
    </w:p>
    <w:p w14:paraId="1D38826F" w14:textId="5A3EB000" w:rsidR="00DE7227" w:rsidRDefault="00DE7227" w:rsidP="00DE7227">
      <w:pPr>
        <w:jc w:val="both"/>
      </w:pPr>
      <w:r>
        <w:rPr>
          <w:b/>
          <w:bCs/>
        </w:rPr>
        <w:t>1. Staffing Model.</w:t>
      </w:r>
      <w:r>
        <w:t xml:space="preserve"> Provide a position-by-position breakdown of FTE allocations to this contract, including federal classification (OE or A), reporting relationships, and backup coverage for key roles during PTO, illness, or vacancy.</w:t>
      </w:r>
    </w:p>
    <w:p w14:paraId="0C392722" w14:textId="77777777" w:rsidR="00DE7227" w:rsidRPr="00DE7227" w:rsidRDefault="00DE7227" w:rsidP="00DE7227">
      <w:pPr>
        <w:jc w:val="both"/>
      </w:pPr>
    </w:p>
    <w:p w14:paraId="1BF09AE4" w14:textId="5C77F6F6" w:rsidR="00DE7227" w:rsidRDefault="00DE7227" w:rsidP="00DE7227">
      <w:pPr>
        <w:jc w:val="both"/>
      </w:pPr>
      <w:r>
        <w:rPr>
          <w:b/>
          <w:bCs/>
        </w:rPr>
        <w:t>2. Allocation of Staffing to Operational Functions.</w:t>
      </w:r>
      <w:r>
        <w:t xml:space="preserve"> Describe how FTE time across the staffing model is allocated to Participant intake and eligibility, IEP development, case management, Host Agency management, GPMS data entry, performance monitoring, and employer engagement. Methodology described in Part 2 should not be repeated.</w:t>
      </w:r>
    </w:p>
    <w:p w14:paraId="507DA92D" w14:textId="77777777" w:rsidR="00DE7227" w:rsidRPr="00DE7227" w:rsidRDefault="00DE7227" w:rsidP="00DE7227">
      <w:pPr>
        <w:jc w:val="both"/>
      </w:pPr>
    </w:p>
    <w:p w14:paraId="7872EA00" w14:textId="7FBC4EE8" w:rsidR="00DE7227" w:rsidRDefault="00DE7227" w:rsidP="00DE7227">
      <w:pPr>
        <w:jc w:val="both"/>
      </w:pPr>
      <w:r>
        <w:rPr>
          <w:b/>
          <w:bCs/>
        </w:rPr>
        <w:t>3. Coverage Mechanics.</w:t>
      </w:r>
      <w:r>
        <w:t xml:space="preserve"> Describe how staff time and effort are distributed between Ada County (39 slots) and Gem County (2 slots), including in-person versus remote service delivery and any local partnerships extending coverage.</w:t>
      </w:r>
    </w:p>
    <w:p w14:paraId="6D886B58" w14:textId="77777777" w:rsidR="00DE7227" w:rsidRPr="00DE7227" w:rsidRDefault="00DE7227" w:rsidP="00DE7227">
      <w:pPr>
        <w:jc w:val="both"/>
      </w:pPr>
    </w:p>
    <w:p w14:paraId="6B8805A6" w14:textId="59A04584" w:rsidR="00DE7227" w:rsidRDefault="00DE7227" w:rsidP="00DE7227">
      <w:pPr>
        <w:jc w:val="both"/>
      </w:pPr>
      <w:r>
        <w:rPr>
          <w:b/>
          <w:bCs/>
        </w:rPr>
        <w:t>4. Direct Cost Basis.</w:t>
      </w:r>
      <w:r>
        <w:t xml:space="preserve"> Without disclosing dollar amounts, provide the assumptions and rationale for each operating (non-personnel) cost category submitted in Submittal Form C, Section 2 — Administration (2A: Travel; Supplies; Equipment; Other) and Other Enrollee (2B: Travel; Supplies; Equipment; Support Services; Training &amp; Education). Where applicable, identify per-Participant or per-event estimates.</w:t>
      </w:r>
    </w:p>
    <w:p w14:paraId="5842789C" w14:textId="77777777" w:rsidR="00DE7227" w:rsidRPr="00DE7227" w:rsidRDefault="00DE7227" w:rsidP="00DE7227">
      <w:pPr>
        <w:jc w:val="both"/>
      </w:pPr>
    </w:p>
    <w:p w14:paraId="5C4D90B0" w14:textId="0F3A1399" w:rsidR="00DE7227" w:rsidRDefault="00DE7227" w:rsidP="00DE7227">
      <w:pPr>
        <w:jc w:val="both"/>
      </w:pPr>
      <w:r>
        <w:rPr>
          <w:b/>
          <w:bCs/>
        </w:rPr>
        <w:t>5. Year 1 Staffing Adjustments.</w:t>
      </w:r>
      <w:r>
        <w:t xml:space="preserve"> Identify any FTE additions, temporary positions, or staffing reallocations for Year 1 to absorb transition activities. Detailed transition planning is addressed in Part 2; this element addresses only staffing implications.</w:t>
      </w:r>
    </w:p>
    <w:p w14:paraId="203C6B06" w14:textId="77777777" w:rsidR="00DE7227" w:rsidRPr="00DE7227" w:rsidRDefault="00DE7227" w:rsidP="00DE7227">
      <w:pPr>
        <w:jc w:val="both"/>
      </w:pPr>
    </w:p>
    <w:p w14:paraId="26B4929F" w14:textId="77777777" w:rsidR="00DE7227" w:rsidRPr="00DE7227" w:rsidRDefault="00DE7227" w:rsidP="00FB3118">
      <w:pPr>
        <w:jc w:val="both"/>
        <w:rPr>
          <w:b/>
          <w:bCs/>
        </w:rPr>
      </w:pPr>
      <w:r>
        <w:rPr>
          <w:b/>
          <w:bCs/>
        </w:rPr>
        <w:t>Format and Page Limit</w:t>
      </w:r>
    </w:p>
    <w:p w14:paraId="786999B4" w14:textId="2F3F7516" w:rsidR="00DE7227" w:rsidRPr="00DE7227" w:rsidRDefault="00DE7227" w:rsidP="00007DE4">
      <w:pPr>
        <w:numPr>
          <w:ilvl w:val="0"/>
          <w:numId w:val="27"/>
        </w:numPr>
        <w:jc w:val="both"/>
      </w:pPr>
      <w:r>
        <w:rPr>
          <w:b/>
          <w:bCs/>
        </w:rPr>
        <w:t>Maximum page limit:</w:t>
      </w:r>
      <w:r>
        <w:t xml:space="preserve"> 6 pages</w:t>
      </w:r>
    </w:p>
    <w:p w14:paraId="063A7439" w14:textId="7497CA77" w:rsidR="00DE7227" w:rsidRPr="00DE7227" w:rsidRDefault="00DE7227" w:rsidP="00007DE4">
      <w:pPr>
        <w:numPr>
          <w:ilvl w:val="0"/>
          <w:numId w:val="27"/>
        </w:numPr>
        <w:jc w:val="both"/>
      </w:pPr>
      <w:r>
        <w:t>The response must be consistent with the Staffing (Section 1) position titles and FTE values entered in Submittal Form C, Section 1.</w:t>
      </w:r>
    </w:p>
    <w:p w14:paraId="66C6B9C2" w14:textId="2FBC9FCE" w:rsidR="005300FC" w:rsidRDefault="00DE7227" w:rsidP="00007DE4">
      <w:pPr>
        <w:numPr>
          <w:ilvl w:val="0"/>
          <w:numId w:val="27"/>
        </w:numPr>
        <w:jc w:val="both"/>
      </w:pPr>
      <w:r>
        <w:t>Cost, salary, fringe, and dollar amount information must not appear in this Part.</w:t>
      </w:r>
    </w:p>
    <w:p w14:paraId="2FE24921" w14:textId="77777777" w:rsidR="00763522" w:rsidRDefault="00763522">
      <w:pPr>
        <w:rPr>
          <w:spacing w:val="20"/>
          <w:sz w:val="48"/>
          <w:szCs w:val="48"/>
        </w:rPr>
      </w:pPr>
      <w:r>
        <w:rPr>
          <w:spacing w:val="20"/>
          <w:sz w:val="48"/>
          <w:szCs w:val="48"/>
        </w:rPr>
        <w:br w:type="page"/>
      </w:r>
    </w:p>
    <w:p w14:paraId="1BA07E28" w14:textId="6E78EB28" w:rsidR="005300FC" w:rsidRPr="00B84CEF" w:rsidRDefault="005300FC" w:rsidP="005300FC">
      <w:pPr>
        <w:jc w:val="center"/>
        <w:rPr>
          <w:spacing w:val="20"/>
          <w:sz w:val="48"/>
          <w:szCs w:val="48"/>
        </w:rPr>
      </w:pPr>
      <w:r>
        <w:rPr>
          <w:spacing w:val="20"/>
          <w:sz w:val="48"/>
          <w:szCs w:val="48"/>
        </w:rPr>
        <w:lastRenderedPageBreak/>
        <w:t>SUBMITTAL FORM C</w:t>
      </w:r>
    </w:p>
    <w:p w14:paraId="771479E1" w14:textId="65AA11B2" w:rsidR="005300FC" w:rsidRPr="00B84CEF" w:rsidRDefault="005300FC" w:rsidP="005300FC">
      <w:pPr>
        <w:shd w:val="clear" w:color="auto" w:fill="F2F2F2" w:themeFill="background1" w:themeFillShade="F2"/>
        <w:jc w:val="center"/>
        <w:rPr>
          <w:b/>
          <w:bCs/>
          <w:spacing w:val="20"/>
          <w:sz w:val="36"/>
          <w:szCs w:val="36"/>
        </w:rPr>
      </w:pPr>
      <w:r>
        <w:rPr>
          <w:b/>
          <w:bCs/>
          <w:spacing w:val="20"/>
          <w:sz w:val="36"/>
          <w:szCs w:val="36"/>
        </w:rPr>
        <w:t xml:space="preserve">Cost Proposal </w:t>
      </w:r>
    </w:p>
    <w:p w14:paraId="44696DA7" w14:textId="77777777" w:rsidR="005300FC" w:rsidRDefault="005300FC" w:rsidP="00702E11">
      <w:pPr>
        <w:jc w:val="both"/>
      </w:pPr>
    </w:p>
    <w:p w14:paraId="62A45E52" w14:textId="1FACB77A" w:rsidR="005300FC" w:rsidRDefault="005300FC" w:rsidP="00702E11">
      <w:pPr>
        <w:jc w:val="both"/>
      </w:pPr>
    </w:p>
    <w:p w14:paraId="7D3F356B" w14:textId="77777777" w:rsidR="005300FC" w:rsidRDefault="005300FC" w:rsidP="00702E11">
      <w:pPr>
        <w:jc w:val="both"/>
      </w:pPr>
    </w:p>
    <w:p w14:paraId="50856322" w14:textId="77777777" w:rsidR="005300FC" w:rsidRDefault="005300FC" w:rsidP="00702E11">
      <w:pPr>
        <w:jc w:val="both"/>
      </w:pPr>
    </w:p>
    <w:p w14:paraId="2B3144A5" w14:textId="77777777" w:rsidR="005300FC" w:rsidRDefault="005300FC" w:rsidP="00702E11">
      <w:pPr>
        <w:jc w:val="both"/>
      </w:pPr>
    </w:p>
    <w:p w14:paraId="0F82E0F8" w14:textId="77777777" w:rsidR="005300FC" w:rsidRDefault="005300FC" w:rsidP="00702E11">
      <w:pPr>
        <w:jc w:val="both"/>
      </w:pPr>
    </w:p>
    <w:p w14:paraId="53F5B042" w14:textId="77777777" w:rsidR="005300FC" w:rsidRDefault="005300FC" w:rsidP="00702E11">
      <w:pPr>
        <w:jc w:val="both"/>
      </w:pPr>
    </w:p>
    <w:p w14:paraId="70B8C394" w14:textId="77777777" w:rsidR="005300FC" w:rsidRDefault="005300FC" w:rsidP="00702E11">
      <w:pPr>
        <w:jc w:val="both"/>
      </w:pPr>
    </w:p>
    <w:p w14:paraId="1478FDD0" w14:textId="77777777" w:rsidR="005300FC" w:rsidRDefault="005300FC" w:rsidP="00702E11">
      <w:pPr>
        <w:jc w:val="both"/>
      </w:pPr>
    </w:p>
    <w:p w14:paraId="2492884F" w14:textId="77777777" w:rsidR="005300FC" w:rsidRDefault="005300FC" w:rsidP="00702E11">
      <w:pPr>
        <w:jc w:val="both"/>
      </w:pPr>
    </w:p>
    <w:p w14:paraId="7783A7C6" w14:textId="77777777" w:rsidR="005300FC" w:rsidRDefault="005300FC" w:rsidP="00702E11">
      <w:pPr>
        <w:jc w:val="both"/>
      </w:pPr>
    </w:p>
    <w:p w14:paraId="6ED3AB71" w14:textId="77777777" w:rsidR="005300FC" w:rsidRDefault="005300FC" w:rsidP="00702E11">
      <w:pPr>
        <w:jc w:val="both"/>
      </w:pPr>
    </w:p>
    <w:p w14:paraId="43AD1320" w14:textId="77777777" w:rsidR="005300FC" w:rsidRDefault="005300FC" w:rsidP="00702E11">
      <w:pPr>
        <w:jc w:val="both"/>
      </w:pPr>
    </w:p>
    <w:p w14:paraId="22F6C52D" w14:textId="77777777" w:rsidR="005300FC" w:rsidRDefault="005300FC" w:rsidP="00702E11">
      <w:pPr>
        <w:jc w:val="both"/>
      </w:pPr>
    </w:p>
    <w:p w14:paraId="74D1EC30" w14:textId="77777777" w:rsidR="005300FC" w:rsidRDefault="005300FC" w:rsidP="00702E11">
      <w:pPr>
        <w:jc w:val="both"/>
      </w:pPr>
    </w:p>
    <w:p w14:paraId="389600EA" w14:textId="77777777" w:rsidR="005300FC" w:rsidRDefault="005300FC" w:rsidP="00702E11">
      <w:pPr>
        <w:jc w:val="both"/>
      </w:pPr>
    </w:p>
    <w:p w14:paraId="402C25A4" w14:textId="54AB598F" w:rsidR="005300FC" w:rsidRDefault="005300FC" w:rsidP="005300FC">
      <w:pPr>
        <w:jc w:val="center"/>
      </w:pPr>
      <w:r>
        <w:t>Submittal Form C – Cost Proposal is provided as an Excel sheet located in IPRO.</w:t>
      </w:r>
    </w:p>
    <w:sectPr w:rsidR="005300FC" w:rsidSect="00DB43C9">
      <w:footerReference w:type="default" r:id="rId29"/>
      <w:pgSz w:w="12240" w:h="15840"/>
      <w:pgMar w:top="720" w:right="720" w:bottom="720" w:left="720" w:header="720" w:footer="1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1B686" w14:textId="77777777" w:rsidR="00595341" w:rsidRDefault="00595341" w:rsidP="00E14344">
      <w:r>
        <w:separator/>
      </w:r>
    </w:p>
  </w:endnote>
  <w:endnote w:type="continuationSeparator" w:id="0">
    <w:p w14:paraId="7B75F7C6" w14:textId="77777777" w:rsidR="00595341" w:rsidRDefault="00595341" w:rsidP="00E1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344290"/>
      <w:docPartObj>
        <w:docPartGallery w:val="Page Numbers (Bottom of Page)"/>
        <w:docPartUnique/>
      </w:docPartObj>
    </w:sdtPr>
    <w:sdtEndPr>
      <w:rPr>
        <w:noProof/>
      </w:rPr>
    </w:sdtEndPr>
    <w:sdtContent>
      <w:p w14:paraId="5AD8875F" w14:textId="6EEE5711" w:rsidR="00DB43C9" w:rsidRDefault="00DB43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275E19" w14:textId="2DDD0339" w:rsidR="00091051" w:rsidRDefault="00091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F25A0" w14:textId="77777777" w:rsidR="00595341" w:rsidRDefault="00595341" w:rsidP="00E14344">
      <w:r>
        <w:separator/>
      </w:r>
    </w:p>
  </w:footnote>
  <w:footnote w:type="continuationSeparator" w:id="0">
    <w:p w14:paraId="10F3175F" w14:textId="77777777" w:rsidR="00595341" w:rsidRDefault="00595341" w:rsidP="00E14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A39"/>
    <w:multiLevelType w:val="multilevel"/>
    <w:tmpl w:val="FFEA490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1C7AB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9930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3C5F8A"/>
    <w:multiLevelType w:val="multilevel"/>
    <w:tmpl w:val="F67C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A11D7"/>
    <w:multiLevelType w:val="hybridMultilevel"/>
    <w:tmpl w:val="209C62AC"/>
    <w:lvl w:ilvl="0" w:tplc="D8EEC778">
      <w:start w:val="1"/>
      <w:numFmt w:val="decimal"/>
      <w:lvlText w:val="1.%1"/>
      <w:lvlJc w:val="left"/>
      <w:pPr>
        <w:ind w:left="720" w:hanging="720"/>
      </w:pPr>
      <w:rPr>
        <w:rFonts w:ascii="Calibri" w:hAnsi="Calibri" w:hint="default"/>
        <w:b/>
        <w:i w:val="0"/>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E362D"/>
    <w:multiLevelType w:val="multilevel"/>
    <w:tmpl w:val="AF2CD4F2"/>
    <w:lvl w:ilvl="0">
      <w:start w:val="4"/>
      <w:numFmt w:val="decimal"/>
      <w:lvlText w:val="%1"/>
      <w:lvlJc w:val="left"/>
      <w:pPr>
        <w:ind w:left="480" w:hanging="480"/>
      </w:pPr>
      <w:rPr>
        <w:rFonts w:hint="default"/>
        <w:b/>
      </w:rPr>
    </w:lvl>
    <w:lvl w:ilvl="1">
      <w:start w:val="9"/>
      <w:numFmt w:val="decimal"/>
      <w:lvlText w:val="%1.%2"/>
      <w:lvlJc w:val="left"/>
      <w:pPr>
        <w:ind w:left="840" w:hanging="480"/>
      </w:pPr>
      <w:rPr>
        <w:rFonts w:hint="default"/>
        <w:b/>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6" w15:restartNumberingAfterBreak="0">
    <w:nsid w:val="198F2A65"/>
    <w:multiLevelType w:val="hybridMultilevel"/>
    <w:tmpl w:val="B3ECF69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4D61F7"/>
    <w:multiLevelType w:val="multilevel"/>
    <w:tmpl w:val="D8967F06"/>
    <w:lvl w:ilvl="0">
      <w:start w:val="1"/>
      <w:numFmt w:val="decimal"/>
      <w:lvlText w:val="2.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024163"/>
    <w:multiLevelType w:val="multilevel"/>
    <w:tmpl w:val="CE54ECF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653603"/>
    <w:multiLevelType w:val="hybridMultilevel"/>
    <w:tmpl w:val="B3ECF69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6F43E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996227C"/>
    <w:multiLevelType w:val="multilevel"/>
    <w:tmpl w:val="AE767284"/>
    <w:lvl w:ilvl="0">
      <w:start w:val="1"/>
      <w:numFmt w:val="decimal"/>
      <w:lvlText w:val="%1."/>
      <w:lvlJc w:val="left"/>
      <w:pPr>
        <w:ind w:left="360" w:hanging="360"/>
      </w:pPr>
      <w:rPr>
        <w:rFonts w:hint="default"/>
      </w:rPr>
    </w:lvl>
    <w:lvl w:ilvl="1">
      <w:start w:val="1"/>
      <w:numFmt w:val="decimal"/>
      <w:lvlText w:val="%1.%2."/>
      <w:lvlJc w:val="left"/>
      <w:pPr>
        <w:ind w:left="1008" w:hanging="648"/>
      </w:pPr>
      <w:rPr>
        <w:rFonts w:hint="default"/>
      </w:rPr>
    </w:lvl>
    <w:lvl w:ilvl="2">
      <w:start w:val="1"/>
      <w:numFmt w:val="decimal"/>
      <w:lvlText w:val="%1.%2.%3."/>
      <w:lvlJc w:val="left"/>
      <w:pPr>
        <w:ind w:left="1944" w:hanging="936"/>
      </w:pPr>
      <w:rPr>
        <w:rFonts w:hint="default"/>
      </w:rPr>
    </w:lvl>
    <w:lvl w:ilvl="3">
      <w:start w:val="1"/>
      <w:numFmt w:val="decimal"/>
      <w:lvlText w:val="%1.%2.%3.%4."/>
      <w:lvlJc w:val="left"/>
      <w:pPr>
        <w:ind w:left="3024" w:hanging="1080"/>
      </w:pPr>
      <w:rPr>
        <w:rFonts w:hint="default"/>
      </w:rPr>
    </w:lvl>
    <w:lvl w:ilvl="4">
      <w:start w:val="1"/>
      <w:numFmt w:val="decimal"/>
      <w:lvlText w:val="%1.%2.%3.%4.%5."/>
      <w:lvlJc w:val="left"/>
      <w:pPr>
        <w:ind w:left="4248" w:hanging="1224"/>
      </w:pPr>
      <w:rPr>
        <w:rFonts w:hint="default"/>
      </w:rPr>
    </w:lvl>
    <w:lvl w:ilvl="5">
      <w:start w:val="1"/>
      <w:numFmt w:val="decimal"/>
      <w:lvlText w:val="%1.%2.%3.%4.%5.%6."/>
      <w:lvlJc w:val="left"/>
      <w:pPr>
        <w:ind w:left="5616" w:hanging="1368"/>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2A331E4C"/>
    <w:multiLevelType w:val="hybridMultilevel"/>
    <w:tmpl w:val="B3ECF69E"/>
    <w:lvl w:ilvl="0" w:tplc="20F0E688">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B355CB"/>
    <w:multiLevelType w:val="multilevel"/>
    <w:tmpl w:val="03B8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4256C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158011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3140D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2822E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35359C8"/>
    <w:multiLevelType w:val="multilevel"/>
    <w:tmpl w:val="2DC8ADD2"/>
    <w:lvl w:ilvl="0">
      <w:start w:val="4"/>
      <w:numFmt w:val="decimal"/>
      <w:lvlText w:val="%1"/>
      <w:lvlJc w:val="left"/>
      <w:pPr>
        <w:ind w:left="480" w:hanging="480"/>
      </w:pPr>
      <w:rPr>
        <w:rFonts w:hint="default"/>
        <w:b/>
      </w:rPr>
    </w:lvl>
    <w:lvl w:ilvl="1">
      <w:start w:val="4"/>
      <w:numFmt w:val="decimal"/>
      <w:lvlText w:val="%1.%2"/>
      <w:lvlJc w:val="left"/>
      <w:pPr>
        <w:ind w:left="840" w:hanging="480"/>
      </w:pPr>
      <w:rPr>
        <w:rFonts w:hint="default"/>
        <w:b/>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val="0"/>
        <w:bCs/>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9" w15:restartNumberingAfterBreak="0">
    <w:nsid w:val="58D2266D"/>
    <w:multiLevelType w:val="hybridMultilevel"/>
    <w:tmpl w:val="3708B04E"/>
    <w:lvl w:ilvl="0" w:tplc="28D84520">
      <w:start w:val="1"/>
      <w:numFmt w:val="decimal"/>
      <w:lvlText w:val="2.%1"/>
      <w:lvlJc w:val="left"/>
      <w:pPr>
        <w:ind w:left="720" w:hanging="72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CB15AB"/>
    <w:multiLevelType w:val="hybridMultilevel"/>
    <w:tmpl w:val="C1101028"/>
    <w:lvl w:ilvl="0" w:tplc="FFFFFFFF">
      <w:start w:val="1"/>
      <w:numFmt w:val="decimal"/>
      <w:lvlText w:val="4.%1"/>
      <w:lvlJc w:val="left"/>
      <w:pPr>
        <w:ind w:left="720" w:hanging="72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6DD7DEC"/>
    <w:multiLevelType w:val="multilevel"/>
    <w:tmpl w:val="544418C2"/>
    <w:lvl w:ilvl="0">
      <w:start w:val="1"/>
      <w:numFmt w:val="decimal"/>
      <w:lvlText w:val="%1."/>
      <w:lvlJc w:val="left"/>
      <w:pPr>
        <w:ind w:left="360" w:hanging="360"/>
      </w:pPr>
      <w:rPr>
        <w:rFonts w:hint="default"/>
      </w:rPr>
    </w:lvl>
    <w:lvl w:ilvl="1">
      <w:start w:val="1"/>
      <w:numFmt w:val="decimal"/>
      <w:lvlText w:val="%1.%2."/>
      <w:lvlJc w:val="left"/>
      <w:pPr>
        <w:ind w:left="1008" w:hanging="648"/>
      </w:pPr>
      <w:rPr>
        <w:rFonts w:hint="default"/>
        <w:b w:val="0"/>
        <w:bCs w:val="0"/>
      </w:rPr>
    </w:lvl>
    <w:lvl w:ilvl="2">
      <w:start w:val="1"/>
      <w:numFmt w:val="decimal"/>
      <w:lvlText w:val="%1.%2.%3."/>
      <w:lvlJc w:val="left"/>
      <w:pPr>
        <w:ind w:left="1944" w:hanging="936"/>
      </w:pPr>
      <w:rPr>
        <w:rFonts w:hint="default"/>
        <w:b w:val="0"/>
        <w:bCs w:val="0"/>
      </w:rPr>
    </w:lvl>
    <w:lvl w:ilvl="3">
      <w:start w:val="1"/>
      <w:numFmt w:val="decimal"/>
      <w:lvlText w:val="%1.%2.%3.%4."/>
      <w:lvlJc w:val="left"/>
      <w:pPr>
        <w:ind w:left="3024" w:hanging="1080"/>
      </w:pPr>
      <w:rPr>
        <w:rFonts w:hint="default"/>
      </w:rPr>
    </w:lvl>
    <w:lvl w:ilvl="4">
      <w:start w:val="1"/>
      <w:numFmt w:val="decimal"/>
      <w:lvlText w:val="%1.%2.%3.%4.%5."/>
      <w:lvlJc w:val="left"/>
      <w:pPr>
        <w:ind w:left="4248" w:hanging="1224"/>
      </w:pPr>
      <w:rPr>
        <w:rFonts w:hint="default"/>
      </w:rPr>
    </w:lvl>
    <w:lvl w:ilvl="5">
      <w:start w:val="1"/>
      <w:numFmt w:val="decimal"/>
      <w:lvlText w:val="%1.%2.%3.%4.%5.%6."/>
      <w:lvlJc w:val="left"/>
      <w:pPr>
        <w:ind w:left="5616" w:hanging="1368"/>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69163FE4"/>
    <w:multiLevelType w:val="multilevel"/>
    <w:tmpl w:val="A5122E3E"/>
    <w:lvl w:ilvl="0">
      <w:start w:val="3"/>
      <w:numFmt w:val="decimal"/>
      <w:lvlText w:val="%1"/>
      <w:lvlJc w:val="left"/>
      <w:pPr>
        <w:ind w:left="480" w:hanging="480"/>
      </w:pPr>
      <w:rPr>
        <w:rFonts w:hint="default"/>
        <w:b/>
      </w:rPr>
    </w:lvl>
    <w:lvl w:ilvl="1">
      <w:start w:val="2"/>
      <w:numFmt w:val="decimal"/>
      <w:lvlText w:val="%1.%2"/>
      <w:lvlJc w:val="left"/>
      <w:pPr>
        <w:ind w:left="840" w:hanging="4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3" w15:restartNumberingAfterBreak="0">
    <w:nsid w:val="6A2E2201"/>
    <w:multiLevelType w:val="multilevel"/>
    <w:tmpl w:val="E4120858"/>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3F3424"/>
    <w:multiLevelType w:val="multilevel"/>
    <w:tmpl w:val="4D3A31F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4745627"/>
    <w:multiLevelType w:val="hybridMultilevel"/>
    <w:tmpl w:val="46209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952B96"/>
    <w:multiLevelType w:val="hybridMultilevel"/>
    <w:tmpl w:val="35CAF6A4"/>
    <w:lvl w:ilvl="0" w:tplc="BBDC5DDE">
      <w:start w:val="1"/>
      <w:numFmt w:val="decimal"/>
      <w:lvlText w:val="3.%1"/>
      <w:lvlJc w:val="left"/>
      <w:pPr>
        <w:ind w:left="720" w:hanging="720"/>
      </w:pPr>
      <w:rPr>
        <w:rFonts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0108555">
    <w:abstractNumId w:val="24"/>
  </w:num>
  <w:num w:numId="2" w16cid:durableId="424230529">
    <w:abstractNumId w:val="4"/>
  </w:num>
  <w:num w:numId="3" w16cid:durableId="1771007005">
    <w:abstractNumId w:val="19"/>
  </w:num>
  <w:num w:numId="4" w16cid:durableId="1292008842">
    <w:abstractNumId w:val="26"/>
  </w:num>
  <w:num w:numId="5" w16cid:durableId="2038581082">
    <w:abstractNumId w:val="7"/>
  </w:num>
  <w:num w:numId="6" w16cid:durableId="1913157047">
    <w:abstractNumId w:val="14"/>
  </w:num>
  <w:num w:numId="7" w16cid:durableId="2099323277">
    <w:abstractNumId w:val="20"/>
  </w:num>
  <w:num w:numId="8" w16cid:durableId="434836005">
    <w:abstractNumId w:val="17"/>
  </w:num>
  <w:num w:numId="9" w16cid:durableId="452674572">
    <w:abstractNumId w:val="15"/>
  </w:num>
  <w:num w:numId="10" w16cid:durableId="2136482692">
    <w:abstractNumId w:val="12"/>
  </w:num>
  <w:num w:numId="11" w16cid:durableId="1109396469">
    <w:abstractNumId w:val="9"/>
  </w:num>
  <w:num w:numId="12" w16cid:durableId="774442131">
    <w:abstractNumId w:val="8"/>
  </w:num>
  <w:num w:numId="13" w16cid:durableId="402067823">
    <w:abstractNumId w:val="21"/>
  </w:num>
  <w:num w:numId="14" w16cid:durableId="1929577666">
    <w:abstractNumId w:val="10"/>
  </w:num>
  <w:num w:numId="15" w16cid:durableId="1303804278">
    <w:abstractNumId w:val="25"/>
  </w:num>
  <w:num w:numId="16" w16cid:durableId="839351656">
    <w:abstractNumId w:val="6"/>
  </w:num>
  <w:num w:numId="17" w16cid:durableId="689994013">
    <w:abstractNumId w:val="5"/>
  </w:num>
  <w:num w:numId="18" w16cid:durableId="209653908">
    <w:abstractNumId w:val="1"/>
  </w:num>
  <w:num w:numId="19" w16cid:durableId="1037320607">
    <w:abstractNumId w:val="22"/>
  </w:num>
  <w:num w:numId="20" w16cid:durableId="165631293">
    <w:abstractNumId w:val="18"/>
  </w:num>
  <w:num w:numId="21" w16cid:durableId="1041857490">
    <w:abstractNumId w:val="23"/>
  </w:num>
  <w:num w:numId="22" w16cid:durableId="543560064">
    <w:abstractNumId w:val="0"/>
  </w:num>
  <w:num w:numId="23" w16cid:durableId="880167891">
    <w:abstractNumId w:val="11"/>
  </w:num>
  <w:num w:numId="24" w16cid:durableId="13925830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47516834">
    <w:abstractNumId w:val="2"/>
  </w:num>
  <w:num w:numId="26" w16cid:durableId="1475291355">
    <w:abstractNumId w:val="13"/>
  </w:num>
  <w:num w:numId="27" w16cid:durableId="1419709886">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AB1"/>
    <w:rsid w:val="00001BC3"/>
    <w:rsid w:val="00006FE2"/>
    <w:rsid w:val="00007DE4"/>
    <w:rsid w:val="000126C4"/>
    <w:rsid w:val="00013DC0"/>
    <w:rsid w:val="00024F3E"/>
    <w:rsid w:val="00026B7C"/>
    <w:rsid w:val="00032FD9"/>
    <w:rsid w:val="00034BC7"/>
    <w:rsid w:val="00040F4D"/>
    <w:rsid w:val="0004275E"/>
    <w:rsid w:val="00043234"/>
    <w:rsid w:val="00046D0F"/>
    <w:rsid w:val="00047A10"/>
    <w:rsid w:val="00055874"/>
    <w:rsid w:val="00056DE1"/>
    <w:rsid w:val="00063739"/>
    <w:rsid w:val="000702E2"/>
    <w:rsid w:val="0007079F"/>
    <w:rsid w:val="00072208"/>
    <w:rsid w:val="00081A7D"/>
    <w:rsid w:val="0008264E"/>
    <w:rsid w:val="00086828"/>
    <w:rsid w:val="00091051"/>
    <w:rsid w:val="00097C77"/>
    <w:rsid w:val="000A219B"/>
    <w:rsid w:val="000A32B4"/>
    <w:rsid w:val="000B2441"/>
    <w:rsid w:val="000C1313"/>
    <w:rsid w:val="000C5A1F"/>
    <w:rsid w:val="000C799E"/>
    <w:rsid w:val="000D14A3"/>
    <w:rsid w:val="000D57CA"/>
    <w:rsid w:val="000D594E"/>
    <w:rsid w:val="000D5B21"/>
    <w:rsid w:val="000E6BE8"/>
    <w:rsid w:val="000F1E39"/>
    <w:rsid w:val="000F6947"/>
    <w:rsid w:val="001002C4"/>
    <w:rsid w:val="001055CB"/>
    <w:rsid w:val="00110884"/>
    <w:rsid w:val="00112D36"/>
    <w:rsid w:val="00115E96"/>
    <w:rsid w:val="001176DA"/>
    <w:rsid w:val="00120185"/>
    <w:rsid w:val="0014373B"/>
    <w:rsid w:val="00143FEF"/>
    <w:rsid w:val="001503E1"/>
    <w:rsid w:val="00150885"/>
    <w:rsid w:val="00151BA9"/>
    <w:rsid w:val="00163AB1"/>
    <w:rsid w:val="00164E7C"/>
    <w:rsid w:val="00171653"/>
    <w:rsid w:val="00172BC6"/>
    <w:rsid w:val="00182DDD"/>
    <w:rsid w:val="00190EBD"/>
    <w:rsid w:val="001917E4"/>
    <w:rsid w:val="001B44B9"/>
    <w:rsid w:val="001B7CF3"/>
    <w:rsid w:val="001B7EC6"/>
    <w:rsid w:val="001C2885"/>
    <w:rsid w:val="001C5521"/>
    <w:rsid w:val="001D0B6C"/>
    <w:rsid w:val="001D5065"/>
    <w:rsid w:val="001D63BC"/>
    <w:rsid w:val="001D69BB"/>
    <w:rsid w:val="001E4031"/>
    <w:rsid w:val="001E53F7"/>
    <w:rsid w:val="001F00DF"/>
    <w:rsid w:val="001F283B"/>
    <w:rsid w:val="001F3C15"/>
    <w:rsid w:val="001F3F72"/>
    <w:rsid w:val="00201C49"/>
    <w:rsid w:val="00203997"/>
    <w:rsid w:val="00216CC4"/>
    <w:rsid w:val="002230C5"/>
    <w:rsid w:val="00225C5A"/>
    <w:rsid w:val="00227001"/>
    <w:rsid w:val="002310AD"/>
    <w:rsid w:val="002444AD"/>
    <w:rsid w:val="0024597D"/>
    <w:rsid w:val="002506E2"/>
    <w:rsid w:val="00250C44"/>
    <w:rsid w:val="002609B5"/>
    <w:rsid w:val="00263509"/>
    <w:rsid w:val="00270170"/>
    <w:rsid w:val="00290431"/>
    <w:rsid w:val="0029566A"/>
    <w:rsid w:val="00297D74"/>
    <w:rsid w:val="002A1AC1"/>
    <w:rsid w:val="002B43A1"/>
    <w:rsid w:val="002C271F"/>
    <w:rsid w:val="002C4724"/>
    <w:rsid w:val="002C7643"/>
    <w:rsid w:val="002D3D5E"/>
    <w:rsid w:val="002D5DD2"/>
    <w:rsid w:val="002E3C46"/>
    <w:rsid w:val="002F227E"/>
    <w:rsid w:val="002F7C34"/>
    <w:rsid w:val="00315426"/>
    <w:rsid w:val="00322CA4"/>
    <w:rsid w:val="003307B1"/>
    <w:rsid w:val="00334176"/>
    <w:rsid w:val="0033654A"/>
    <w:rsid w:val="00356561"/>
    <w:rsid w:val="00367575"/>
    <w:rsid w:val="00373A77"/>
    <w:rsid w:val="00384099"/>
    <w:rsid w:val="00390E58"/>
    <w:rsid w:val="003945EE"/>
    <w:rsid w:val="00395F5B"/>
    <w:rsid w:val="00397639"/>
    <w:rsid w:val="003A00FD"/>
    <w:rsid w:val="003B2DF9"/>
    <w:rsid w:val="003B74DD"/>
    <w:rsid w:val="003D7144"/>
    <w:rsid w:val="003D7191"/>
    <w:rsid w:val="003E3CB7"/>
    <w:rsid w:val="003F3202"/>
    <w:rsid w:val="003F43B6"/>
    <w:rsid w:val="004210C2"/>
    <w:rsid w:val="00421F8F"/>
    <w:rsid w:val="0044060A"/>
    <w:rsid w:val="004418C9"/>
    <w:rsid w:val="004527B7"/>
    <w:rsid w:val="004541BE"/>
    <w:rsid w:val="0045467B"/>
    <w:rsid w:val="00455A9F"/>
    <w:rsid w:val="004634C9"/>
    <w:rsid w:val="004825D8"/>
    <w:rsid w:val="00485625"/>
    <w:rsid w:val="0048762E"/>
    <w:rsid w:val="00487F87"/>
    <w:rsid w:val="00490FF4"/>
    <w:rsid w:val="004963FC"/>
    <w:rsid w:val="004A4064"/>
    <w:rsid w:val="004A48F2"/>
    <w:rsid w:val="004A731A"/>
    <w:rsid w:val="004B3351"/>
    <w:rsid w:val="004C4E60"/>
    <w:rsid w:val="004C5065"/>
    <w:rsid w:val="004D4887"/>
    <w:rsid w:val="004E1972"/>
    <w:rsid w:val="004E7C7D"/>
    <w:rsid w:val="005003CC"/>
    <w:rsid w:val="00500DEE"/>
    <w:rsid w:val="005045C6"/>
    <w:rsid w:val="00504A99"/>
    <w:rsid w:val="00510011"/>
    <w:rsid w:val="005165E8"/>
    <w:rsid w:val="00520474"/>
    <w:rsid w:val="00527300"/>
    <w:rsid w:val="005300FC"/>
    <w:rsid w:val="005342A8"/>
    <w:rsid w:val="00542E6B"/>
    <w:rsid w:val="00550E83"/>
    <w:rsid w:val="00553664"/>
    <w:rsid w:val="00554A00"/>
    <w:rsid w:val="00555504"/>
    <w:rsid w:val="00562A8A"/>
    <w:rsid w:val="00563BA4"/>
    <w:rsid w:val="005701B7"/>
    <w:rsid w:val="00584C1C"/>
    <w:rsid w:val="00595341"/>
    <w:rsid w:val="005A1221"/>
    <w:rsid w:val="005A2724"/>
    <w:rsid w:val="005A3723"/>
    <w:rsid w:val="005A76E6"/>
    <w:rsid w:val="005B213E"/>
    <w:rsid w:val="005B4E54"/>
    <w:rsid w:val="005B6D42"/>
    <w:rsid w:val="005C6A03"/>
    <w:rsid w:val="005D0881"/>
    <w:rsid w:val="005E425B"/>
    <w:rsid w:val="005F6390"/>
    <w:rsid w:val="00601689"/>
    <w:rsid w:val="00602A6A"/>
    <w:rsid w:val="00602CAD"/>
    <w:rsid w:val="00610634"/>
    <w:rsid w:val="0061075C"/>
    <w:rsid w:val="00627D9E"/>
    <w:rsid w:val="00631F4C"/>
    <w:rsid w:val="00634A6E"/>
    <w:rsid w:val="00640E3F"/>
    <w:rsid w:val="0065467C"/>
    <w:rsid w:val="00656665"/>
    <w:rsid w:val="00660BD4"/>
    <w:rsid w:val="006612DA"/>
    <w:rsid w:val="006635D4"/>
    <w:rsid w:val="006645D3"/>
    <w:rsid w:val="00667F6C"/>
    <w:rsid w:val="0067079C"/>
    <w:rsid w:val="00672028"/>
    <w:rsid w:val="00672037"/>
    <w:rsid w:val="00684B25"/>
    <w:rsid w:val="00695DAA"/>
    <w:rsid w:val="006A00BC"/>
    <w:rsid w:val="006A3ABE"/>
    <w:rsid w:val="006A3C9E"/>
    <w:rsid w:val="006A6CC0"/>
    <w:rsid w:val="006B1F4F"/>
    <w:rsid w:val="006B209E"/>
    <w:rsid w:val="006B3228"/>
    <w:rsid w:val="006B6278"/>
    <w:rsid w:val="006C7BEB"/>
    <w:rsid w:val="006E09D9"/>
    <w:rsid w:val="006E66F3"/>
    <w:rsid w:val="006F0D6E"/>
    <w:rsid w:val="006F11B9"/>
    <w:rsid w:val="006F22EA"/>
    <w:rsid w:val="006F2BA4"/>
    <w:rsid w:val="006F6B0E"/>
    <w:rsid w:val="00702360"/>
    <w:rsid w:val="00702683"/>
    <w:rsid w:val="00702E11"/>
    <w:rsid w:val="00704427"/>
    <w:rsid w:val="00711A0F"/>
    <w:rsid w:val="00715F97"/>
    <w:rsid w:val="00717E7E"/>
    <w:rsid w:val="00721E11"/>
    <w:rsid w:val="00731B15"/>
    <w:rsid w:val="00743246"/>
    <w:rsid w:val="00744485"/>
    <w:rsid w:val="00751E5F"/>
    <w:rsid w:val="00753696"/>
    <w:rsid w:val="007616C5"/>
    <w:rsid w:val="00763522"/>
    <w:rsid w:val="007645EB"/>
    <w:rsid w:val="00767A8B"/>
    <w:rsid w:val="00770080"/>
    <w:rsid w:val="0077085F"/>
    <w:rsid w:val="00772B58"/>
    <w:rsid w:val="00773742"/>
    <w:rsid w:val="0078081D"/>
    <w:rsid w:val="00783DB3"/>
    <w:rsid w:val="0078534B"/>
    <w:rsid w:val="00796E3D"/>
    <w:rsid w:val="007A2CBD"/>
    <w:rsid w:val="007A2E8E"/>
    <w:rsid w:val="007A6721"/>
    <w:rsid w:val="007C108E"/>
    <w:rsid w:val="007C2CDA"/>
    <w:rsid w:val="007C41FC"/>
    <w:rsid w:val="007C4B3F"/>
    <w:rsid w:val="007D6FD3"/>
    <w:rsid w:val="007E0B07"/>
    <w:rsid w:val="007E1AF0"/>
    <w:rsid w:val="007E322E"/>
    <w:rsid w:val="007F6AFD"/>
    <w:rsid w:val="00804D48"/>
    <w:rsid w:val="008167E4"/>
    <w:rsid w:val="00820673"/>
    <w:rsid w:val="00823F27"/>
    <w:rsid w:val="008266E2"/>
    <w:rsid w:val="00830B85"/>
    <w:rsid w:val="00840FFD"/>
    <w:rsid w:val="0084227B"/>
    <w:rsid w:val="008474D3"/>
    <w:rsid w:val="00851128"/>
    <w:rsid w:val="00855670"/>
    <w:rsid w:val="00856194"/>
    <w:rsid w:val="008561C1"/>
    <w:rsid w:val="00871481"/>
    <w:rsid w:val="00872104"/>
    <w:rsid w:val="008751B1"/>
    <w:rsid w:val="0087672D"/>
    <w:rsid w:val="008828AA"/>
    <w:rsid w:val="00884DA8"/>
    <w:rsid w:val="00892298"/>
    <w:rsid w:val="00893E9D"/>
    <w:rsid w:val="00895AFE"/>
    <w:rsid w:val="0089731B"/>
    <w:rsid w:val="008A6E65"/>
    <w:rsid w:val="008B0C75"/>
    <w:rsid w:val="008B1005"/>
    <w:rsid w:val="008B2DA0"/>
    <w:rsid w:val="008B4867"/>
    <w:rsid w:val="008C024A"/>
    <w:rsid w:val="008C0936"/>
    <w:rsid w:val="008C096B"/>
    <w:rsid w:val="008C3E7B"/>
    <w:rsid w:val="008C4438"/>
    <w:rsid w:val="008D51C3"/>
    <w:rsid w:val="008D6692"/>
    <w:rsid w:val="008D7F52"/>
    <w:rsid w:val="008E3A60"/>
    <w:rsid w:val="008E527F"/>
    <w:rsid w:val="008F1FD0"/>
    <w:rsid w:val="008F219D"/>
    <w:rsid w:val="008F3E1A"/>
    <w:rsid w:val="00906176"/>
    <w:rsid w:val="00906DCD"/>
    <w:rsid w:val="0091385B"/>
    <w:rsid w:val="00922706"/>
    <w:rsid w:val="009259F6"/>
    <w:rsid w:val="0094685C"/>
    <w:rsid w:val="00946AAC"/>
    <w:rsid w:val="009504D9"/>
    <w:rsid w:val="00950C7E"/>
    <w:rsid w:val="00951F84"/>
    <w:rsid w:val="00952C94"/>
    <w:rsid w:val="0095621A"/>
    <w:rsid w:val="00957BD8"/>
    <w:rsid w:val="00962F12"/>
    <w:rsid w:val="00976500"/>
    <w:rsid w:val="009803A1"/>
    <w:rsid w:val="00980D16"/>
    <w:rsid w:val="009833A3"/>
    <w:rsid w:val="009923FB"/>
    <w:rsid w:val="0099278E"/>
    <w:rsid w:val="00996F5C"/>
    <w:rsid w:val="009970FA"/>
    <w:rsid w:val="00997689"/>
    <w:rsid w:val="009A717B"/>
    <w:rsid w:val="009C2545"/>
    <w:rsid w:val="009C325B"/>
    <w:rsid w:val="009D00C9"/>
    <w:rsid w:val="009D1054"/>
    <w:rsid w:val="009D51DF"/>
    <w:rsid w:val="009D5D1E"/>
    <w:rsid w:val="009D70F3"/>
    <w:rsid w:val="009E3950"/>
    <w:rsid w:val="00A0123B"/>
    <w:rsid w:val="00A03128"/>
    <w:rsid w:val="00A12EF3"/>
    <w:rsid w:val="00A13AF6"/>
    <w:rsid w:val="00A13B98"/>
    <w:rsid w:val="00A140CC"/>
    <w:rsid w:val="00A17418"/>
    <w:rsid w:val="00A1799B"/>
    <w:rsid w:val="00A2708B"/>
    <w:rsid w:val="00A300AA"/>
    <w:rsid w:val="00A374BE"/>
    <w:rsid w:val="00A5375C"/>
    <w:rsid w:val="00A56F77"/>
    <w:rsid w:val="00A62A8B"/>
    <w:rsid w:val="00A632C8"/>
    <w:rsid w:val="00A63716"/>
    <w:rsid w:val="00A64D68"/>
    <w:rsid w:val="00A65078"/>
    <w:rsid w:val="00A747F7"/>
    <w:rsid w:val="00A8041F"/>
    <w:rsid w:val="00A84C9C"/>
    <w:rsid w:val="00A8672D"/>
    <w:rsid w:val="00A94683"/>
    <w:rsid w:val="00AA4CC6"/>
    <w:rsid w:val="00AB037C"/>
    <w:rsid w:val="00AB35B7"/>
    <w:rsid w:val="00AC205A"/>
    <w:rsid w:val="00AC2BBA"/>
    <w:rsid w:val="00AC4EB5"/>
    <w:rsid w:val="00AC5336"/>
    <w:rsid w:val="00AD2236"/>
    <w:rsid w:val="00AE4671"/>
    <w:rsid w:val="00AF0FAD"/>
    <w:rsid w:val="00AF2E0A"/>
    <w:rsid w:val="00AF3541"/>
    <w:rsid w:val="00AF4DD8"/>
    <w:rsid w:val="00AF6DFD"/>
    <w:rsid w:val="00B00BDE"/>
    <w:rsid w:val="00B01411"/>
    <w:rsid w:val="00B02BDD"/>
    <w:rsid w:val="00B05834"/>
    <w:rsid w:val="00B14E49"/>
    <w:rsid w:val="00B15FC7"/>
    <w:rsid w:val="00B26A05"/>
    <w:rsid w:val="00B27A2C"/>
    <w:rsid w:val="00B42928"/>
    <w:rsid w:val="00B44A25"/>
    <w:rsid w:val="00B44A9B"/>
    <w:rsid w:val="00B44B3F"/>
    <w:rsid w:val="00B46951"/>
    <w:rsid w:val="00B470B8"/>
    <w:rsid w:val="00B50313"/>
    <w:rsid w:val="00B53155"/>
    <w:rsid w:val="00B5320C"/>
    <w:rsid w:val="00B57D9D"/>
    <w:rsid w:val="00B701C7"/>
    <w:rsid w:val="00B7320A"/>
    <w:rsid w:val="00B84CEF"/>
    <w:rsid w:val="00BA498C"/>
    <w:rsid w:val="00BB2E03"/>
    <w:rsid w:val="00BB6BE4"/>
    <w:rsid w:val="00BC1EDE"/>
    <w:rsid w:val="00BC34FB"/>
    <w:rsid w:val="00BC6D81"/>
    <w:rsid w:val="00BE0D39"/>
    <w:rsid w:val="00BE37E2"/>
    <w:rsid w:val="00BE391F"/>
    <w:rsid w:val="00BE596D"/>
    <w:rsid w:val="00BF0839"/>
    <w:rsid w:val="00BF1BB4"/>
    <w:rsid w:val="00BF67B4"/>
    <w:rsid w:val="00BF6BC4"/>
    <w:rsid w:val="00C03657"/>
    <w:rsid w:val="00C04E4E"/>
    <w:rsid w:val="00C0505E"/>
    <w:rsid w:val="00C05259"/>
    <w:rsid w:val="00C059C0"/>
    <w:rsid w:val="00C107EA"/>
    <w:rsid w:val="00C17046"/>
    <w:rsid w:val="00C20B4A"/>
    <w:rsid w:val="00C2111A"/>
    <w:rsid w:val="00C233C6"/>
    <w:rsid w:val="00C35847"/>
    <w:rsid w:val="00C5029C"/>
    <w:rsid w:val="00C64A32"/>
    <w:rsid w:val="00C66D18"/>
    <w:rsid w:val="00C709A2"/>
    <w:rsid w:val="00C72CCE"/>
    <w:rsid w:val="00C76AD3"/>
    <w:rsid w:val="00C8428C"/>
    <w:rsid w:val="00C9620A"/>
    <w:rsid w:val="00C9650F"/>
    <w:rsid w:val="00CA2210"/>
    <w:rsid w:val="00CA351D"/>
    <w:rsid w:val="00CB0258"/>
    <w:rsid w:val="00CB1085"/>
    <w:rsid w:val="00CC7C62"/>
    <w:rsid w:val="00CD6D94"/>
    <w:rsid w:val="00CE3613"/>
    <w:rsid w:val="00CF2A1E"/>
    <w:rsid w:val="00CF543B"/>
    <w:rsid w:val="00CF72CE"/>
    <w:rsid w:val="00D05596"/>
    <w:rsid w:val="00D07367"/>
    <w:rsid w:val="00D2139B"/>
    <w:rsid w:val="00D2463D"/>
    <w:rsid w:val="00D33EEF"/>
    <w:rsid w:val="00D435FD"/>
    <w:rsid w:val="00D47855"/>
    <w:rsid w:val="00D5148B"/>
    <w:rsid w:val="00D55878"/>
    <w:rsid w:val="00D656A3"/>
    <w:rsid w:val="00D66A1D"/>
    <w:rsid w:val="00D66BCD"/>
    <w:rsid w:val="00D71D8A"/>
    <w:rsid w:val="00D75FDA"/>
    <w:rsid w:val="00D76931"/>
    <w:rsid w:val="00D77DE5"/>
    <w:rsid w:val="00D82718"/>
    <w:rsid w:val="00D8290A"/>
    <w:rsid w:val="00D843DD"/>
    <w:rsid w:val="00D84C56"/>
    <w:rsid w:val="00D86EC9"/>
    <w:rsid w:val="00D90E92"/>
    <w:rsid w:val="00D915A2"/>
    <w:rsid w:val="00D96D77"/>
    <w:rsid w:val="00DA1DAE"/>
    <w:rsid w:val="00DA2B92"/>
    <w:rsid w:val="00DB43C9"/>
    <w:rsid w:val="00DB7352"/>
    <w:rsid w:val="00DC023A"/>
    <w:rsid w:val="00DC357C"/>
    <w:rsid w:val="00DC35FC"/>
    <w:rsid w:val="00DC479E"/>
    <w:rsid w:val="00DC6740"/>
    <w:rsid w:val="00DD45AF"/>
    <w:rsid w:val="00DE4549"/>
    <w:rsid w:val="00DE7227"/>
    <w:rsid w:val="00DE7764"/>
    <w:rsid w:val="00E14344"/>
    <w:rsid w:val="00E17D35"/>
    <w:rsid w:val="00E23963"/>
    <w:rsid w:val="00E37300"/>
    <w:rsid w:val="00E42642"/>
    <w:rsid w:val="00E4388A"/>
    <w:rsid w:val="00E54F28"/>
    <w:rsid w:val="00E62DB9"/>
    <w:rsid w:val="00E65E94"/>
    <w:rsid w:val="00E66576"/>
    <w:rsid w:val="00E725E1"/>
    <w:rsid w:val="00E73B69"/>
    <w:rsid w:val="00E767AE"/>
    <w:rsid w:val="00E81743"/>
    <w:rsid w:val="00E82F58"/>
    <w:rsid w:val="00E83E92"/>
    <w:rsid w:val="00E85721"/>
    <w:rsid w:val="00EA4AD7"/>
    <w:rsid w:val="00EA527B"/>
    <w:rsid w:val="00EB2760"/>
    <w:rsid w:val="00EB37D5"/>
    <w:rsid w:val="00EB3C67"/>
    <w:rsid w:val="00EB7A69"/>
    <w:rsid w:val="00EC4DDF"/>
    <w:rsid w:val="00ED6264"/>
    <w:rsid w:val="00EE092D"/>
    <w:rsid w:val="00EE1D3D"/>
    <w:rsid w:val="00EE5EC0"/>
    <w:rsid w:val="00EE63FA"/>
    <w:rsid w:val="00EF2D5D"/>
    <w:rsid w:val="00F030EB"/>
    <w:rsid w:val="00F03A56"/>
    <w:rsid w:val="00F1078C"/>
    <w:rsid w:val="00F270FC"/>
    <w:rsid w:val="00F3133D"/>
    <w:rsid w:val="00F368F3"/>
    <w:rsid w:val="00F377A7"/>
    <w:rsid w:val="00F411BF"/>
    <w:rsid w:val="00F41E9A"/>
    <w:rsid w:val="00F512E5"/>
    <w:rsid w:val="00F51EA1"/>
    <w:rsid w:val="00F60189"/>
    <w:rsid w:val="00F65519"/>
    <w:rsid w:val="00F6776F"/>
    <w:rsid w:val="00F73F57"/>
    <w:rsid w:val="00F74E13"/>
    <w:rsid w:val="00F75FDA"/>
    <w:rsid w:val="00F779E2"/>
    <w:rsid w:val="00F83B7C"/>
    <w:rsid w:val="00F926EB"/>
    <w:rsid w:val="00FA25EE"/>
    <w:rsid w:val="00FA281E"/>
    <w:rsid w:val="00FA54C5"/>
    <w:rsid w:val="00FA6ADA"/>
    <w:rsid w:val="00FB3118"/>
    <w:rsid w:val="00FB5ED5"/>
    <w:rsid w:val="00FC234A"/>
    <w:rsid w:val="00FC43E4"/>
    <w:rsid w:val="00FC6A37"/>
    <w:rsid w:val="00FD0BD2"/>
    <w:rsid w:val="00FE27BC"/>
    <w:rsid w:val="00FF5ADD"/>
    <w:rsid w:val="00FF7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00622"/>
  <w15:chartTrackingRefBased/>
  <w15:docId w15:val="{5F39D744-5E82-4A5E-BCE4-D0169574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DFD"/>
  </w:style>
  <w:style w:type="paragraph" w:styleId="Heading1">
    <w:name w:val="heading 1"/>
    <w:aliases w:val="Section Heading,MainHeading,H1"/>
    <w:basedOn w:val="Normal"/>
    <w:next w:val="Normal"/>
    <w:link w:val="Heading1Char"/>
    <w:qFormat/>
    <w:rsid w:val="00163AB1"/>
    <w:pPr>
      <w:keepNext/>
      <w:keepLines/>
      <w:numPr>
        <w:numId w:val="1"/>
      </w:numPr>
      <w:spacing w:before="240" w:line="259"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nhideWhenUsed/>
    <w:qFormat/>
    <w:rsid w:val="00163AB1"/>
    <w:pPr>
      <w:keepNext/>
      <w:keepLines/>
      <w:numPr>
        <w:ilvl w:val="1"/>
        <w:numId w:val="1"/>
      </w:numPr>
      <w:spacing w:before="40" w:line="259" w:lineRule="auto"/>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nhideWhenUsed/>
    <w:qFormat/>
    <w:rsid w:val="00163AB1"/>
    <w:pPr>
      <w:keepNext/>
      <w:keepLines/>
      <w:numPr>
        <w:ilvl w:val="2"/>
        <w:numId w:val="1"/>
      </w:numPr>
      <w:spacing w:before="40" w:line="259" w:lineRule="auto"/>
      <w:outlineLvl w:val="2"/>
    </w:pPr>
    <w:rPr>
      <w:rFonts w:asciiTheme="majorHAnsi" w:eastAsiaTheme="majorEastAsia" w:hAnsiTheme="majorHAnsi" w:cstheme="majorBidi"/>
      <w:color w:val="1F3763" w:themeColor="accent1" w:themeShade="7F"/>
      <w:kern w:val="0"/>
      <w:sz w:val="24"/>
      <w:szCs w:val="24"/>
      <w14:ligatures w14:val="none"/>
    </w:rPr>
  </w:style>
  <w:style w:type="paragraph" w:styleId="Heading4">
    <w:name w:val="heading 4"/>
    <w:aliases w:val="h4"/>
    <w:basedOn w:val="Normal"/>
    <w:next w:val="Normal"/>
    <w:link w:val="Heading4Char"/>
    <w:unhideWhenUsed/>
    <w:qFormat/>
    <w:rsid w:val="00163AB1"/>
    <w:pPr>
      <w:keepNext/>
      <w:keepLines/>
      <w:numPr>
        <w:ilvl w:val="3"/>
        <w:numId w:val="1"/>
      </w:numPr>
      <w:spacing w:before="40" w:line="259" w:lineRule="auto"/>
      <w:outlineLvl w:val="3"/>
    </w:pPr>
    <w:rPr>
      <w:rFonts w:asciiTheme="majorHAnsi" w:eastAsiaTheme="majorEastAsia" w:hAnsiTheme="majorHAnsi" w:cstheme="majorBidi"/>
      <w:i/>
      <w:iCs/>
      <w:color w:val="2F5496" w:themeColor="accent1" w:themeShade="BF"/>
      <w:kern w:val="0"/>
      <w14:ligatures w14:val="none"/>
    </w:rPr>
  </w:style>
  <w:style w:type="paragraph" w:styleId="Heading5">
    <w:name w:val="heading 5"/>
    <w:basedOn w:val="Normal"/>
    <w:next w:val="Normal"/>
    <w:link w:val="Heading5Char"/>
    <w:uiPriority w:val="9"/>
    <w:unhideWhenUsed/>
    <w:qFormat/>
    <w:rsid w:val="00163AB1"/>
    <w:pPr>
      <w:keepNext/>
      <w:keepLines/>
      <w:numPr>
        <w:ilvl w:val="4"/>
        <w:numId w:val="1"/>
      </w:numPr>
      <w:spacing w:before="40" w:line="259" w:lineRule="auto"/>
      <w:outlineLvl w:val="4"/>
    </w:pPr>
    <w:rPr>
      <w:rFonts w:asciiTheme="majorHAnsi" w:eastAsiaTheme="majorEastAsia" w:hAnsiTheme="majorHAnsi" w:cstheme="majorBidi"/>
      <w:color w:val="2F5496" w:themeColor="accent1" w:themeShade="BF"/>
      <w:kern w:val="0"/>
      <w14:ligatures w14:val="none"/>
    </w:rPr>
  </w:style>
  <w:style w:type="paragraph" w:styleId="Heading6">
    <w:name w:val="heading 6"/>
    <w:basedOn w:val="Normal"/>
    <w:next w:val="Normal"/>
    <w:link w:val="Heading6Char"/>
    <w:uiPriority w:val="9"/>
    <w:semiHidden/>
    <w:unhideWhenUsed/>
    <w:qFormat/>
    <w:rsid w:val="00163AB1"/>
    <w:pPr>
      <w:keepNext/>
      <w:keepLines/>
      <w:numPr>
        <w:ilvl w:val="5"/>
        <w:numId w:val="1"/>
      </w:numPr>
      <w:spacing w:before="40" w:line="259" w:lineRule="auto"/>
      <w:outlineLvl w:val="5"/>
    </w:pPr>
    <w:rPr>
      <w:rFonts w:asciiTheme="majorHAnsi" w:eastAsiaTheme="majorEastAsia" w:hAnsiTheme="majorHAnsi" w:cstheme="majorBidi"/>
      <w:color w:val="1F3763" w:themeColor="accent1" w:themeShade="7F"/>
      <w:kern w:val="0"/>
      <w14:ligatures w14:val="none"/>
    </w:rPr>
  </w:style>
  <w:style w:type="paragraph" w:styleId="Heading7">
    <w:name w:val="heading 7"/>
    <w:basedOn w:val="Normal"/>
    <w:next w:val="Normal"/>
    <w:link w:val="Heading7Char"/>
    <w:uiPriority w:val="9"/>
    <w:semiHidden/>
    <w:unhideWhenUsed/>
    <w:qFormat/>
    <w:rsid w:val="00163AB1"/>
    <w:pPr>
      <w:keepNext/>
      <w:keepLines/>
      <w:numPr>
        <w:ilvl w:val="6"/>
        <w:numId w:val="1"/>
      </w:numPr>
      <w:spacing w:before="40" w:line="259" w:lineRule="auto"/>
      <w:outlineLvl w:val="6"/>
    </w:pPr>
    <w:rPr>
      <w:rFonts w:asciiTheme="majorHAnsi" w:eastAsiaTheme="majorEastAsia" w:hAnsiTheme="majorHAnsi" w:cstheme="majorBidi"/>
      <w:i/>
      <w:iCs/>
      <w:color w:val="1F3763" w:themeColor="accent1" w:themeShade="7F"/>
      <w:kern w:val="0"/>
      <w14:ligatures w14:val="none"/>
    </w:rPr>
  </w:style>
  <w:style w:type="paragraph" w:styleId="Heading8">
    <w:name w:val="heading 8"/>
    <w:basedOn w:val="Normal"/>
    <w:next w:val="Normal"/>
    <w:link w:val="Heading8Char"/>
    <w:uiPriority w:val="9"/>
    <w:semiHidden/>
    <w:unhideWhenUsed/>
    <w:qFormat/>
    <w:rsid w:val="00163AB1"/>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kern w:val="0"/>
      <w:sz w:val="21"/>
      <w:szCs w:val="21"/>
      <w14:ligatures w14:val="none"/>
    </w:rPr>
  </w:style>
  <w:style w:type="paragraph" w:styleId="Heading9">
    <w:name w:val="heading 9"/>
    <w:basedOn w:val="Normal"/>
    <w:next w:val="Normal"/>
    <w:link w:val="Heading9Char"/>
    <w:uiPriority w:val="9"/>
    <w:semiHidden/>
    <w:unhideWhenUsed/>
    <w:qFormat/>
    <w:rsid w:val="00163AB1"/>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MainHeading Char,H1 Char"/>
    <w:basedOn w:val="DefaultParagraphFont"/>
    <w:link w:val="Heading1"/>
    <w:rsid w:val="00163AB1"/>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rsid w:val="00163AB1"/>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rsid w:val="00163AB1"/>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aliases w:val="h4 Char"/>
    <w:basedOn w:val="DefaultParagraphFont"/>
    <w:link w:val="Heading4"/>
    <w:rsid w:val="00163AB1"/>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163AB1"/>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163AB1"/>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163AB1"/>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163AB1"/>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163AB1"/>
    <w:rPr>
      <w:rFonts w:asciiTheme="majorHAnsi" w:eastAsiaTheme="majorEastAsia" w:hAnsiTheme="majorHAnsi" w:cstheme="majorBidi"/>
      <w:i/>
      <w:iCs/>
      <w:color w:val="272727" w:themeColor="text1" w:themeTint="D8"/>
      <w:kern w:val="0"/>
      <w:sz w:val="21"/>
      <w:szCs w:val="21"/>
      <w14:ligatures w14:val="none"/>
    </w:rPr>
  </w:style>
  <w:style w:type="table" w:styleId="TableGrid">
    <w:name w:val="Table Grid"/>
    <w:basedOn w:val="TableNormal"/>
    <w:uiPriority w:val="39"/>
    <w:rsid w:val="00163AB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Proposal List Paragraph"/>
    <w:basedOn w:val="Normal"/>
    <w:qFormat/>
    <w:rsid w:val="006C7BEB"/>
    <w:pPr>
      <w:ind w:left="720"/>
      <w:contextualSpacing/>
    </w:pPr>
  </w:style>
  <w:style w:type="character" w:styleId="CommentReference">
    <w:name w:val="annotation reference"/>
    <w:basedOn w:val="DefaultParagraphFont"/>
    <w:uiPriority w:val="99"/>
    <w:unhideWhenUsed/>
    <w:rsid w:val="00E81743"/>
    <w:rPr>
      <w:sz w:val="16"/>
      <w:szCs w:val="16"/>
    </w:rPr>
  </w:style>
  <w:style w:type="paragraph" w:styleId="CommentText">
    <w:name w:val="annotation text"/>
    <w:basedOn w:val="Normal"/>
    <w:link w:val="CommentTextChar"/>
    <w:uiPriority w:val="99"/>
    <w:unhideWhenUsed/>
    <w:rsid w:val="00E81743"/>
    <w:rPr>
      <w:sz w:val="20"/>
      <w:szCs w:val="20"/>
    </w:rPr>
  </w:style>
  <w:style w:type="character" w:customStyle="1" w:styleId="CommentTextChar">
    <w:name w:val="Comment Text Char"/>
    <w:basedOn w:val="DefaultParagraphFont"/>
    <w:link w:val="CommentText"/>
    <w:uiPriority w:val="99"/>
    <w:rsid w:val="00E81743"/>
    <w:rPr>
      <w:sz w:val="20"/>
      <w:szCs w:val="20"/>
    </w:rPr>
  </w:style>
  <w:style w:type="paragraph" w:styleId="CommentSubject">
    <w:name w:val="annotation subject"/>
    <w:basedOn w:val="CommentText"/>
    <w:next w:val="CommentText"/>
    <w:link w:val="CommentSubjectChar"/>
    <w:uiPriority w:val="99"/>
    <w:semiHidden/>
    <w:unhideWhenUsed/>
    <w:rsid w:val="00E81743"/>
    <w:rPr>
      <w:b/>
      <w:bCs/>
    </w:rPr>
  </w:style>
  <w:style w:type="character" w:customStyle="1" w:styleId="CommentSubjectChar">
    <w:name w:val="Comment Subject Char"/>
    <w:basedOn w:val="CommentTextChar"/>
    <w:link w:val="CommentSubject"/>
    <w:uiPriority w:val="99"/>
    <w:semiHidden/>
    <w:rsid w:val="00E81743"/>
    <w:rPr>
      <w:b/>
      <w:bCs/>
      <w:sz w:val="20"/>
      <w:szCs w:val="20"/>
    </w:rPr>
  </w:style>
  <w:style w:type="character" w:styleId="Hyperlink">
    <w:name w:val="Hyperlink"/>
    <w:basedOn w:val="DefaultParagraphFont"/>
    <w:uiPriority w:val="99"/>
    <w:unhideWhenUsed/>
    <w:rsid w:val="008C024A"/>
    <w:rPr>
      <w:color w:val="0563C1" w:themeColor="hyperlink"/>
      <w:u w:val="single"/>
    </w:rPr>
  </w:style>
  <w:style w:type="character" w:styleId="UnresolvedMention">
    <w:name w:val="Unresolved Mention"/>
    <w:basedOn w:val="DefaultParagraphFont"/>
    <w:uiPriority w:val="99"/>
    <w:semiHidden/>
    <w:unhideWhenUsed/>
    <w:rsid w:val="008C024A"/>
    <w:rPr>
      <w:color w:val="605E5C"/>
      <w:shd w:val="clear" w:color="auto" w:fill="E1DFDD"/>
    </w:rPr>
  </w:style>
  <w:style w:type="character" w:styleId="FollowedHyperlink">
    <w:name w:val="FollowedHyperlink"/>
    <w:basedOn w:val="DefaultParagraphFont"/>
    <w:uiPriority w:val="99"/>
    <w:semiHidden/>
    <w:unhideWhenUsed/>
    <w:rsid w:val="00112D36"/>
    <w:rPr>
      <w:color w:val="954F72" w:themeColor="followedHyperlink"/>
      <w:u w:val="single"/>
    </w:rPr>
  </w:style>
  <w:style w:type="paragraph" w:styleId="Header">
    <w:name w:val="header"/>
    <w:basedOn w:val="Normal"/>
    <w:link w:val="HeaderChar"/>
    <w:uiPriority w:val="99"/>
    <w:unhideWhenUsed/>
    <w:rsid w:val="00E14344"/>
    <w:pPr>
      <w:tabs>
        <w:tab w:val="center" w:pos="4680"/>
        <w:tab w:val="right" w:pos="9360"/>
      </w:tabs>
    </w:pPr>
  </w:style>
  <w:style w:type="character" w:customStyle="1" w:styleId="HeaderChar">
    <w:name w:val="Header Char"/>
    <w:basedOn w:val="DefaultParagraphFont"/>
    <w:link w:val="Header"/>
    <w:uiPriority w:val="99"/>
    <w:rsid w:val="00E14344"/>
  </w:style>
  <w:style w:type="paragraph" w:styleId="Footer">
    <w:name w:val="footer"/>
    <w:basedOn w:val="Normal"/>
    <w:link w:val="FooterChar"/>
    <w:uiPriority w:val="99"/>
    <w:unhideWhenUsed/>
    <w:rsid w:val="00E14344"/>
    <w:pPr>
      <w:tabs>
        <w:tab w:val="center" w:pos="4680"/>
        <w:tab w:val="right" w:pos="9360"/>
      </w:tabs>
    </w:pPr>
  </w:style>
  <w:style w:type="character" w:customStyle="1" w:styleId="FooterChar">
    <w:name w:val="Footer Char"/>
    <w:basedOn w:val="DefaultParagraphFont"/>
    <w:link w:val="Footer"/>
    <w:uiPriority w:val="99"/>
    <w:rsid w:val="00E14344"/>
  </w:style>
  <w:style w:type="paragraph" w:styleId="BodyText">
    <w:name w:val="Body Text"/>
    <w:basedOn w:val="Normal"/>
    <w:link w:val="BodyTextChar"/>
    <w:semiHidden/>
    <w:unhideWhenUsed/>
    <w:rsid w:val="009259F6"/>
    <w:pPr>
      <w:widowControl w:val="0"/>
      <w:snapToGrid w:val="0"/>
      <w:jc w:val="both"/>
    </w:pPr>
    <w:rPr>
      <w:rFonts w:ascii="Calibri" w:eastAsia="Times New Roman" w:hAnsi="Calibri" w:cs="Times New Roman"/>
      <w:color w:val="000000"/>
      <w:kern w:val="0"/>
      <w:szCs w:val="20"/>
      <w14:ligatures w14:val="none"/>
    </w:rPr>
  </w:style>
  <w:style w:type="character" w:customStyle="1" w:styleId="BodyTextChar">
    <w:name w:val="Body Text Char"/>
    <w:basedOn w:val="DefaultParagraphFont"/>
    <w:link w:val="BodyText"/>
    <w:semiHidden/>
    <w:rsid w:val="009259F6"/>
    <w:rPr>
      <w:rFonts w:ascii="Calibri" w:eastAsia="Times New Roman" w:hAnsi="Calibri" w:cs="Times New Roman"/>
      <w:color w:val="000000"/>
      <w:kern w:val="0"/>
      <w:szCs w:val="20"/>
      <w14:ligatures w14:val="none"/>
    </w:rPr>
  </w:style>
  <w:style w:type="paragraph" w:styleId="Revision">
    <w:name w:val="Revision"/>
    <w:hidden/>
    <w:uiPriority w:val="99"/>
    <w:semiHidden/>
    <w:rsid w:val="0078534B"/>
  </w:style>
  <w:style w:type="character" w:styleId="PlaceholderText">
    <w:name w:val="Placeholder Text"/>
    <w:basedOn w:val="DefaultParagraphFont"/>
    <w:uiPriority w:val="99"/>
    <w:semiHidden/>
    <w:rsid w:val="0009105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91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ms-idaho-prd.tam.inforgov.com/fsm/SupplyManagementSupplier/page/XiSupplyManagementSupplierPage?csk.SupplierGroup=LUMA" TargetMode="External"/><Relationship Id="rId18" Type="http://schemas.openxmlformats.org/officeDocument/2006/relationships/hyperlink" Target="https://www.govinfo.gov/content/pkg/COMPS-829/pdf/COMPS-829.pdf"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www.dol.gov/agencies/eta/advisories/training-and-employment-guidance-letter-no-12-06" TargetMode="External"/><Relationship Id="rId7" Type="http://schemas.openxmlformats.org/officeDocument/2006/relationships/endnotes" Target="endnotes.xml"/><Relationship Id="rId12" Type="http://schemas.openxmlformats.org/officeDocument/2006/relationships/hyperlink" Target="https://sms-idaho-prd.tam.inforgov.com/fsm/SupplyManagementSupplier/page/XiSupplyManagementSupplierPage?csk.SupplierGroup=LUMA" TargetMode="External"/><Relationship Id="rId17" Type="http://schemas.openxmlformats.org/officeDocument/2006/relationships/hyperlink" Target="https://www.govinfo.gov/app/details/PLAW-116publ131"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federalregister.gov/documents/2018/07/30/2018-16216/senior-community-service-employment-program-performance-accountability" TargetMode="External"/><Relationship Id="rId20" Type="http://schemas.openxmlformats.org/officeDocument/2006/relationships/hyperlink" Target="https://www.dol.gov/agencies/eta/seniors/technical-assistanc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ms.microsoft.com/meet/25739699153051?p=EhlQlDIScaDg2cM1H2"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dol.gov/agencies/eta/seniors" TargetMode="External"/><Relationship Id="rId23" Type="http://schemas.openxmlformats.org/officeDocument/2006/relationships/hyperlink" Target="mailto:Invoices@aging.idaho.gov" TargetMode="External"/><Relationship Id="rId28" Type="http://schemas.openxmlformats.org/officeDocument/2006/relationships/hyperlink" Target="https://sam.gov" TargetMode="External"/><Relationship Id="rId10" Type="http://schemas.openxmlformats.org/officeDocument/2006/relationships/hyperlink" Target="mailto:Erik.Schmidt@adm.idaho.gov" TargetMode="External"/><Relationship Id="rId19" Type="http://schemas.openxmlformats.org/officeDocument/2006/relationships/hyperlink" Target="https://www.ecfr.gov/current/title-20/chapter-V/part-64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ams.microsoft.com/meet/231580185771108?p=0ghrPKhzGXkqkBijzW" TargetMode="External"/><Relationship Id="rId14" Type="http://schemas.openxmlformats.org/officeDocument/2006/relationships/hyperlink" Target="http://www.aging.idaho.gov" TargetMode="External"/><Relationship Id="rId22" Type="http://schemas.openxmlformats.org/officeDocument/2006/relationships/hyperlink" Target="https://www.dol.gov/agencies/eta/advisories/training-and-employment-guidance-letter-no-10-09" TargetMode="External"/><Relationship Id="rId27" Type="http://schemas.openxmlformats.org/officeDocument/2006/relationships/image" Target="media/image5.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7EBE2-94F4-4F8A-9C14-414F3C6DF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58</Pages>
  <Words>17348</Words>
  <Characters>98890</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Savicky</dc:creator>
  <cp:keywords/>
  <dc:description/>
  <cp:lastModifiedBy>Erik Schmidt</cp:lastModifiedBy>
  <cp:revision>6</cp:revision>
  <dcterms:created xsi:type="dcterms:W3CDTF">2026-06-05T18:05:00Z</dcterms:created>
  <dcterms:modified xsi:type="dcterms:W3CDTF">2026-06-15T15:14:00Z</dcterms:modified>
</cp:coreProperties>
</file>